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97" w:rsidRDefault="00BE7197" w:rsidP="00BE7197">
      <w:pPr>
        <w:jc w:val="both"/>
      </w:pPr>
      <w:proofErr w:type="gramStart"/>
      <w:r>
        <w:rPr>
          <w:b/>
        </w:rPr>
        <w:t xml:space="preserve">A </w:t>
      </w:r>
      <w:proofErr w:type="gramEnd"/>
      <w:r w:rsidR="00C476C8">
        <w:rPr>
          <w:b/>
        </w:rPr>
        <w:fldChar w:fldCharType="begin"/>
      </w:r>
      <w:r>
        <w:rPr>
          <w:b/>
        </w:rPr>
        <w:instrText xml:space="preserve"> MERGEFIELD "Cégbíróság" </w:instrText>
      </w:r>
      <w:r w:rsidR="00C476C8">
        <w:rPr>
          <w:b/>
        </w:rPr>
        <w:fldChar w:fldCharType="separate"/>
      </w:r>
      <w:r w:rsidRPr="0059567D">
        <w:rPr>
          <w:b/>
          <w:noProof/>
        </w:rPr>
        <w:t>Budapest Környéki Törvényszék</w:t>
      </w:r>
      <w:r w:rsidR="00C476C8">
        <w:rPr>
          <w:b/>
        </w:rPr>
        <w:fldChar w:fldCharType="end"/>
      </w:r>
      <w:proofErr w:type="gramStart"/>
      <w:r w:rsidR="001E6C9A">
        <w:rPr>
          <w:b/>
        </w:rPr>
        <w:t xml:space="preserve"> </w:t>
      </w:r>
      <w:proofErr w:type="gramEnd"/>
      <w:r w:rsidR="00C476C8">
        <w:rPr>
          <w:b/>
          <w:bCs/>
        </w:rPr>
        <w:fldChar w:fldCharType="begin"/>
      </w:r>
      <w:r>
        <w:rPr>
          <w:b/>
          <w:bCs/>
        </w:rPr>
        <w:instrText xml:space="preserve"> MERGEFIELD "Fpk" </w:instrText>
      </w:r>
      <w:r w:rsidR="00C476C8">
        <w:rPr>
          <w:b/>
          <w:bCs/>
        </w:rPr>
        <w:fldChar w:fldCharType="separate"/>
      </w:r>
      <w:r w:rsidRPr="0059567D">
        <w:rPr>
          <w:b/>
          <w:bCs/>
          <w:noProof/>
        </w:rPr>
        <w:t>7.Fpk.958/2020.</w:t>
      </w:r>
      <w:r w:rsidR="00C476C8">
        <w:rPr>
          <w:b/>
          <w:bCs/>
        </w:rPr>
        <w:fldChar w:fldCharType="end"/>
      </w:r>
      <w:proofErr w:type="gramStart"/>
      <w:r>
        <w:t xml:space="preserve"> számú végzésében a </w:t>
      </w:r>
      <w:proofErr w:type="gramEnd"/>
      <w:r w:rsidR="00C476C8">
        <w:rPr>
          <w:b/>
        </w:rPr>
        <w:fldChar w:fldCharType="begin"/>
      </w:r>
      <w:r>
        <w:rPr>
          <w:b/>
        </w:rPr>
        <w:instrText xml:space="preserve"> MERGEFIELD "anev" </w:instrText>
      </w:r>
      <w:r w:rsidR="00C476C8">
        <w:rPr>
          <w:b/>
        </w:rPr>
        <w:fldChar w:fldCharType="separate"/>
      </w:r>
      <w:r w:rsidRPr="0059567D">
        <w:rPr>
          <w:b/>
          <w:noProof/>
        </w:rPr>
        <w:t>KRÍZIS KONTROLL KFT</w:t>
      </w:r>
      <w:r w:rsidR="00C476C8">
        <w:rPr>
          <w:b/>
        </w:rPr>
        <w:fldChar w:fldCharType="end"/>
      </w:r>
      <w:proofErr w:type="gramStart"/>
      <w:r w:rsidR="001E6C9A">
        <w:rPr>
          <w:b/>
        </w:rPr>
        <w:t>.</w:t>
      </w:r>
      <w:r>
        <w:t xml:space="preserve"> (</w:t>
      </w:r>
      <w:r w:rsidRPr="00900925">
        <w:rPr>
          <w:i/>
        </w:rPr>
        <w:t>székhely:</w:t>
      </w:r>
      <w:proofErr w:type="gramEnd"/>
      <w:r w:rsidR="00C476C8">
        <w:fldChar w:fldCharType="begin"/>
      </w:r>
      <w:r w:rsidR="00437A7E">
        <w:instrText xml:space="preserve"> MERGEFIELD "acím" </w:instrText>
      </w:r>
      <w:r w:rsidR="00C476C8">
        <w:fldChar w:fldCharType="separate"/>
      </w:r>
      <w:r w:rsidR="001E6C9A">
        <w:rPr>
          <w:noProof/>
        </w:rPr>
        <w:t>1111</w:t>
      </w:r>
      <w:r>
        <w:rPr>
          <w:noProof/>
        </w:rPr>
        <w:t xml:space="preserve"> Budapest, Bicskei út 6 fsz.2</w:t>
      </w:r>
      <w:r w:rsidR="00C476C8">
        <w:rPr>
          <w:noProof/>
        </w:rPr>
        <w:fldChar w:fldCharType="end"/>
      </w:r>
      <w:proofErr w:type="gramStart"/>
      <w:r>
        <w:t xml:space="preserve">., </w:t>
      </w:r>
      <w:r w:rsidRPr="00900925">
        <w:rPr>
          <w:i/>
        </w:rPr>
        <w:t>cégjegyzékszám</w:t>
      </w:r>
      <w:r>
        <w:t xml:space="preserve">: </w:t>
      </w:r>
      <w:proofErr w:type="gramEnd"/>
      <w:r w:rsidR="00C476C8">
        <w:fldChar w:fldCharType="begin"/>
      </w:r>
      <w:r w:rsidR="00437A7E">
        <w:instrText xml:space="preserve"> MERGEFIELD "acégjegyzékszám" </w:instrText>
      </w:r>
      <w:r w:rsidR="00C476C8">
        <w:fldChar w:fldCharType="separate"/>
      </w:r>
      <w:r>
        <w:rPr>
          <w:noProof/>
        </w:rPr>
        <w:t>01-09-173701</w:t>
      </w:r>
      <w:r w:rsidR="00C476C8">
        <w:rPr>
          <w:noProof/>
        </w:rPr>
        <w:fldChar w:fldCharType="end"/>
      </w:r>
      <w:proofErr w:type="gramStart"/>
      <w:r>
        <w:t xml:space="preserve">, </w:t>
      </w:r>
      <w:r w:rsidRPr="00900925">
        <w:rPr>
          <w:i/>
        </w:rPr>
        <w:t>adószám</w:t>
      </w:r>
      <w:r>
        <w:t>:</w:t>
      </w:r>
      <w:proofErr w:type="gramEnd"/>
      <w:r w:rsidR="00C476C8">
        <w:fldChar w:fldCharType="begin"/>
      </w:r>
      <w:r w:rsidR="00437A7E">
        <w:instrText xml:space="preserve"> MERGEFIELD "aadószám" </w:instrText>
      </w:r>
      <w:r w:rsidR="00C476C8">
        <w:fldChar w:fldCharType="separate"/>
      </w:r>
      <w:r>
        <w:rPr>
          <w:noProof/>
        </w:rPr>
        <w:t>24366878-2-43</w:t>
      </w:r>
      <w:r w:rsidR="00C476C8">
        <w:rPr>
          <w:noProof/>
        </w:rPr>
        <w:fldChar w:fldCharType="end"/>
      </w:r>
      <w:proofErr w:type="gramStart"/>
      <w:r>
        <w:t>) jelölte ki a</w:t>
      </w:r>
      <w:r w:rsidR="001E6C9A">
        <w:t>z</w:t>
      </w:r>
      <w:r>
        <w:t xml:space="preserve"> </w:t>
      </w:r>
      <w:proofErr w:type="gramEnd"/>
      <w:r w:rsidR="00C476C8">
        <w:rPr>
          <w:b/>
          <w:bCs/>
        </w:rPr>
        <w:fldChar w:fldCharType="begin"/>
      </w:r>
      <w:r>
        <w:rPr>
          <w:b/>
          <w:bCs/>
        </w:rPr>
        <w:instrText xml:space="preserve"> MERGEFIELD "Cégnév" </w:instrText>
      </w:r>
      <w:r w:rsidR="00C476C8">
        <w:rPr>
          <w:b/>
          <w:bCs/>
        </w:rPr>
        <w:fldChar w:fldCharType="separate"/>
      </w:r>
      <w:r w:rsidRPr="0059567D">
        <w:rPr>
          <w:b/>
          <w:bCs/>
          <w:noProof/>
        </w:rPr>
        <w:t>Environ-Energie Energetikai Fejlesztő és Beruházó Korlátolt Felelősségű Társaság "felszámolás alatt"</w:t>
      </w:r>
      <w:r w:rsidR="00C476C8">
        <w:rPr>
          <w:b/>
          <w:bCs/>
        </w:rPr>
        <w:fldChar w:fldCharType="end"/>
      </w:r>
      <w:proofErr w:type="gramStart"/>
      <w:r>
        <w:t>(</w:t>
      </w:r>
      <w:r w:rsidRPr="007B25D0">
        <w:rPr>
          <w:i/>
        </w:rPr>
        <w:t>székhely:</w:t>
      </w:r>
      <w:proofErr w:type="gramEnd"/>
      <w:r w:rsidR="00C476C8">
        <w:fldChar w:fldCharType="begin"/>
      </w:r>
      <w:r w:rsidR="00437A7E">
        <w:instrText xml:space="preserve"> MERGEFIELD "Címe" </w:instrText>
      </w:r>
      <w:r w:rsidR="00C476C8">
        <w:fldChar w:fldCharType="separate"/>
      </w:r>
      <w:r>
        <w:rPr>
          <w:noProof/>
        </w:rPr>
        <w:t>2364 Ócsa, Némedi úti major 06/2 hrsz</w:t>
      </w:r>
      <w:r w:rsidR="00C476C8">
        <w:rPr>
          <w:noProof/>
        </w:rPr>
        <w:fldChar w:fldCharType="end"/>
      </w:r>
      <w:proofErr w:type="gramStart"/>
      <w:r>
        <w:t xml:space="preserve">; </w:t>
      </w:r>
      <w:r w:rsidRPr="00000373">
        <w:rPr>
          <w:i/>
        </w:rPr>
        <w:t>cégjegyzékszám:</w:t>
      </w:r>
      <w:proofErr w:type="gramEnd"/>
      <w:r w:rsidR="00C476C8">
        <w:fldChar w:fldCharType="begin"/>
      </w:r>
      <w:r w:rsidR="00437A7E">
        <w:instrText xml:space="preserve"> MERGEFIELD "Cégjegyzékszám" </w:instrText>
      </w:r>
      <w:r w:rsidR="00C476C8">
        <w:fldChar w:fldCharType="separate"/>
      </w:r>
      <w:r>
        <w:rPr>
          <w:noProof/>
        </w:rPr>
        <w:t>13 09 186526</w:t>
      </w:r>
      <w:r w:rsidR="00C476C8">
        <w:rPr>
          <w:noProof/>
        </w:rPr>
        <w:fldChar w:fldCharType="end"/>
      </w:r>
      <w:r>
        <w:t xml:space="preserve">, </w:t>
      </w:r>
      <w:r w:rsidRPr="001E6C9A">
        <w:rPr>
          <w:i/>
        </w:rPr>
        <w:t>korábbi cégjegyzékszámai:</w:t>
      </w:r>
      <w:r>
        <w:t xml:space="preserve"> 12 09 009637, 01 09 982564, </w:t>
      </w:r>
      <w:r w:rsidRPr="00000373">
        <w:rPr>
          <w:i/>
        </w:rPr>
        <w:t>adószám:</w:t>
      </w:r>
      <w:r w:rsidR="00C476C8">
        <w:fldChar w:fldCharType="begin"/>
      </w:r>
      <w:r w:rsidR="00437A7E">
        <w:instrText xml:space="preserve"> MERGEFIELD "Adószáma" </w:instrText>
      </w:r>
      <w:r w:rsidR="00C476C8">
        <w:fldChar w:fldCharType="separate"/>
      </w:r>
      <w:r>
        <w:rPr>
          <w:noProof/>
        </w:rPr>
        <w:t>23879731-2-13</w:t>
      </w:r>
      <w:r w:rsidR="00C476C8">
        <w:rPr>
          <w:noProof/>
        </w:rPr>
        <w:fldChar w:fldCharType="end"/>
      </w:r>
      <w:r>
        <w:t>) felszámolási eljárásának lefolytatására.</w:t>
      </w:r>
    </w:p>
    <w:p w:rsidR="00816A1D" w:rsidRPr="00A11CEA" w:rsidRDefault="00816A1D" w:rsidP="005E238C">
      <w:pPr>
        <w:spacing w:line="276" w:lineRule="auto"/>
        <w:jc w:val="both"/>
      </w:pPr>
    </w:p>
    <w:p w:rsidR="002E3987" w:rsidRPr="00A11CEA" w:rsidRDefault="001E6C9A" w:rsidP="006F48D4">
      <w:pPr>
        <w:spacing w:line="276" w:lineRule="auto"/>
        <w:jc w:val="center"/>
        <w:rPr>
          <w:rStyle w:val="Kiemels2"/>
        </w:rPr>
      </w:pPr>
      <w:r>
        <w:rPr>
          <w:rStyle w:val="Kiemels2"/>
        </w:rPr>
        <w:t>I</w:t>
      </w:r>
      <w:r w:rsidR="0060577D" w:rsidRPr="00A11CEA">
        <w:rPr>
          <w:rStyle w:val="Kiemels2"/>
        </w:rPr>
        <w:t xml:space="preserve">. </w:t>
      </w:r>
      <w:r w:rsidR="002E3987" w:rsidRPr="00A11CEA">
        <w:rPr>
          <w:rStyle w:val="Kiemels2"/>
        </w:rPr>
        <w:t>NYILVÁNOS PÁLYÁZAT</w:t>
      </w:r>
    </w:p>
    <w:p w:rsidR="002E3987" w:rsidRPr="00A11CEA" w:rsidRDefault="002E3987" w:rsidP="005E238C">
      <w:pPr>
        <w:spacing w:line="276" w:lineRule="auto"/>
        <w:jc w:val="both"/>
      </w:pPr>
    </w:p>
    <w:p w:rsidR="002941A4" w:rsidRDefault="002E3987" w:rsidP="003E7C3A">
      <w:pPr>
        <w:tabs>
          <w:tab w:val="left" w:pos="2977"/>
          <w:tab w:val="left" w:pos="4140"/>
        </w:tabs>
        <w:spacing w:line="276" w:lineRule="auto"/>
        <w:jc w:val="both"/>
      </w:pPr>
      <w:proofErr w:type="gramStart"/>
      <w:r w:rsidRPr="00A11CEA">
        <w:t>útján</w:t>
      </w:r>
      <w:proofErr w:type="gramEnd"/>
      <w:r w:rsidRPr="00A11CEA">
        <w:t xml:space="preserve"> értékesítésre meghirdeti</w:t>
      </w:r>
      <w:r w:rsidR="001E6C9A">
        <w:t xml:space="preserve"> </w:t>
      </w:r>
      <w:r w:rsidR="00BE7197">
        <w:t>első</w:t>
      </w:r>
      <w:r w:rsidR="00CD7759" w:rsidRPr="00A11CEA">
        <w:t xml:space="preserve"> alkalommal</w:t>
      </w:r>
      <w:r w:rsidR="001E6C9A">
        <w:t xml:space="preserve"> </w:t>
      </w:r>
      <w:r w:rsidR="002941A4">
        <w:t xml:space="preserve">az </w:t>
      </w:r>
      <w:r w:rsidR="007C7674" w:rsidRPr="00EA5478">
        <w:rPr>
          <w:b/>
        </w:rPr>
        <w:t>A</w:t>
      </w:r>
      <w:r w:rsidRPr="00EA5478">
        <w:rPr>
          <w:b/>
        </w:rPr>
        <w:t xml:space="preserve">dós </w:t>
      </w:r>
      <w:r w:rsidR="007C7674" w:rsidRPr="00EA5478">
        <w:rPr>
          <w:b/>
        </w:rPr>
        <w:t>T</w:t>
      </w:r>
      <w:r w:rsidRPr="00EA5478">
        <w:rPr>
          <w:b/>
        </w:rPr>
        <w:t>ársaság</w:t>
      </w:r>
      <w:r w:rsidR="00C87E36">
        <w:rPr>
          <w:b/>
        </w:rPr>
        <w:t xml:space="preserve"> </w:t>
      </w:r>
      <w:bookmarkStart w:id="0" w:name="_GoBack"/>
      <w:bookmarkEnd w:id="0"/>
      <w:r w:rsidR="00BE034B" w:rsidRPr="00A11CEA">
        <w:t>vagyonát képező</w:t>
      </w:r>
      <w:r w:rsidR="00EA5478">
        <w:t>, az alábbiakban felsorolt</w:t>
      </w:r>
      <w:r w:rsidR="001E6C9A">
        <w:t xml:space="preserve"> </w:t>
      </w:r>
      <w:r w:rsidR="00BE7197">
        <w:t xml:space="preserve">irodai, igazgatási berendezéseket, felszereléseket: </w:t>
      </w:r>
    </w:p>
    <w:p w:rsidR="002941A4" w:rsidRDefault="002941A4" w:rsidP="003E7C3A">
      <w:pPr>
        <w:tabs>
          <w:tab w:val="left" w:pos="2977"/>
          <w:tab w:val="left" w:pos="4140"/>
        </w:tabs>
        <w:spacing w:line="276" w:lineRule="auto"/>
        <w:jc w:val="both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60"/>
        <w:gridCol w:w="1360"/>
        <w:gridCol w:w="1582"/>
      </w:tblGrid>
      <w:tr w:rsidR="002941A4" w:rsidRPr="00620E94" w:rsidTr="00BE719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A4" w:rsidRPr="00620E94" w:rsidRDefault="002941A4" w:rsidP="002941A4">
            <w:pPr>
              <w:rPr>
                <w:b/>
                <w:bCs/>
                <w:color w:val="000000"/>
              </w:rPr>
            </w:pPr>
            <w:r w:rsidRPr="00620E94">
              <w:rPr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A4" w:rsidRPr="00620E94" w:rsidRDefault="002941A4" w:rsidP="002941A4">
            <w:pPr>
              <w:rPr>
                <w:b/>
                <w:bCs/>
                <w:color w:val="000000"/>
              </w:rPr>
            </w:pPr>
            <w:r w:rsidRPr="00620E94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A4" w:rsidRPr="00620E94" w:rsidRDefault="002941A4" w:rsidP="002941A4">
            <w:pPr>
              <w:rPr>
                <w:b/>
                <w:bCs/>
                <w:color w:val="000000"/>
              </w:rPr>
            </w:pPr>
            <w:r w:rsidRPr="00620E94">
              <w:rPr>
                <w:b/>
                <w:bCs/>
                <w:color w:val="000000"/>
                <w:sz w:val="22"/>
                <w:szCs w:val="22"/>
              </w:rPr>
              <w:t>Becsérték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1A4" w:rsidRPr="00620E94" w:rsidRDefault="002941A4" w:rsidP="002941A4">
            <w:pPr>
              <w:rPr>
                <w:b/>
                <w:bCs/>
                <w:color w:val="000000"/>
              </w:rPr>
            </w:pPr>
            <w:r w:rsidRPr="00620E94">
              <w:rPr>
                <w:b/>
                <w:bCs/>
                <w:color w:val="000000"/>
                <w:sz w:val="22"/>
                <w:szCs w:val="22"/>
              </w:rPr>
              <w:t>Minimálár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Samsung lézeres nyomtató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14.172 Ft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14.172 Ft 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mikrohullámú sütő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25.982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25.982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kültéri kamerarendszer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490.440 Ft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197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490.440 Ft 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polcok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103.904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103.904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íróasztal 1.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15.044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15.044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íróasztal 2.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15.740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15.740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irodai székek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10.662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10.662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hosszabbító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7.557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7.557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ventilátor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12.674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12.674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DELL P2012 monitor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12.992 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12.992 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BE7197" w:rsidRPr="00620E94" w:rsidTr="00BE719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Net-</w:t>
            </w:r>
            <w:proofErr w:type="spellStart"/>
            <w:r>
              <w:rPr>
                <w:color w:val="000000"/>
                <w:sz w:val="22"/>
                <w:szCs w:val="22"/>
              </w:rPr>
              <w:t>router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ASUS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23.827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23.827</w:t>
            </w:r>
            <w:r w:rsidRPr="00620E94">
              <w:rPr>
                <w:color w:val="000000"/>
                <w:sz w:val="22"/>
                <w:szCs w:val="22"/>
              </w:rPr>
              <w:t xml:space="preserve"> Ft</w:t>
            </w:r>
          </w:p>
        </w:tc>
      </w:tr>
      <w:tr w:rsidR="00BE7197" w:rsidRPr="00620E94" w:rsidTr="00BE719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Motorola </w:t>
            </w:r>
            <w:proofErr w:type="spellStart"/>
            <w:r>
              <w:rPr>
                <w:color w:val="000000"/>
                <w:sz w:val="22"/>
                <w:szCs w:val="22"/>
              </w:rPr>
              <w:t>Walkie-Talkie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16.906 </w:t>
            </w:r>
            <w:r w:rsidRPr="00620E94">
              <w:rPr>
                <w:color w:val="000000"/>
                <w:sz w:val="22"/>
                <w:szCs w:val="22"/>
              </w:rPr>
              <w:t>Ft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16.906 </w:t>
            </w:r>
            <w:r w:rsidRPr="00620E94">
              <w:rPr>
                <w:color w:val="000000"/>
                <w:sz w:val="22"/>
                <w:szCs w:val="22"/>
              </w:rPr>
              <w:t>Ft</w:t>
            </w:r>
          </w:p>
        </w:tc>
      </w:tr>
      <w:tr w:rsidR="00BE7197" w:rsidRPr="00620E94" w:rsidTr="00BE719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color w:val="000000"/>
              </w:rPr>
            </w:pPr>
            <w:r w:rsidRPr="00620E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97" w:rsidRPr="00620E94" w:rsidRDefault="00BE7197" w:rsidP="00BE7197">
            <w:pPr>
              <w:rPr>
                <w:b/>
                <w:bCs/>
                <w:color w:val="000000"/>
              </w:rPr>
            </w:pPr>
            <w:r w:rsidRPr="00620E94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106ECF" w:rsidP="00BE71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749.900</w:t>
            </w:r>
            <w:r w:rsidR="00BE7197" w:rsidRPr="00620E94">
              <w:rPr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97" w:rsidRPr="00620E94" w:rsidRDefault="00106ECF" w:rsidP="00BE71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749.900 Ft</w:t>
            </w:r>
          </w:p>
        </w:tc>
      </w:tr>
    </w:tbl>
    <w:p w:rsidR="002A0E0C" w:rsidRPr="003E7C3A" w:rsidRDefault="00A046A7" w:rsidP="003E7C3A">
      <w:pPr>
        <w:tabs>
          <w:tab w:val="left" w:pos="2977"/>
          <w:tab w:val="left" w:pos="4140"/>
        </w:tabs>
        <w:spacing w:line="276" w:lineRule="auto"/>
        <w:jc w:val="both"/>
      </w:pPr>
      <w:r w:rsidRPr="00A11CEA">
        <w:tab/>
      </w:r>
    </w:p>
    <w:p w:rsidR="00106ECF" w:rsidRDefault="007C7674" w:rsidP="00C912D2">
      <w:pPr>
        <w:tabs>
          <w:tab w:val="left" w:pos="4111"/>
        </w:tabs>
        <w:spacing w:line="276" w:lineRule="auto"/>
        <w:jc w:val="both"/>
        <w:rPr>
          <w:b/>
          <w:i/>
        </w:rPr>
      </w:pPr>
      <w:r>
        <w:rPr>
          <w:b/>
        </w:rPr>
        <w:t>A</w:t>
      </w:r>
      <w:r w:rsidR="00C912D2" w:rsidRPr="00A11CEA">
        <w:rPr>
          <w:b/>
        </w:rPr>
        <w:t xml:space="preserve">z </w:t>
      </w:r>
      <w:r>
        <w:rPr>
          <w:b/>
        </w:rPr>
        <w:t>A</w:t>
      </w:r>
      <w:r w:rsidR="00C912D2" w:rsidRPr="00A11CEA">
        <w:rPr>
          <w:b/>
        </w:rPr>
        <w:t xml:space="preserve">dós </w:t>
      </w:r>
      <w:r>
        <w:rPr>
          <w:b/>
        </w:rPr>
        <w:t>T</w:t>
      </w:r>
      <w:r w:rsidR="00C912D2" w:rsidRPr="00A11CEA">
        <w:rPr>
          <w:b/>
        </w:rPr>
        <w:t xml:space="preserve">ársaság </w:t>
      </w:r>
      <w:r w:rsidRPr="00A11CEA">
        <w:rPr>
          <w:b/>
        </w:rPr>
        <w:t xml:space="preserve">összes </w:t>
      </w:r>
      <w:r w:rsidR="003E7C3A">
        <w:rPr>
          <w:b/>
        </w:rPr>
        <w:t>készletének</w:t>
      </w:r>
      <w:r w:rsidR="00C912D2" w:rsidRPr="00A11CEA">
        <w:rPr>
          <w:b/>
        </w:rPr>
        <w:t xml:space="preserve"> becsértéke: </w:t>
      </w:r>
      <w:r w:rsidR="00106ECF">
        <w:rPr>
          <w:b/>
          <w:bCs/>
          <w:color w:val="000000"/>
        </w:rPr>
        <w:t>749.90</w:t>
      </w:r>
      <w:r w:rsidR="002941A4">
        <w:rPr>
          <w:b/>
          <w:bCs/>
          <w:color w:val="000000"/>
        </w:rPr>
        <w:t>0</w:t>
      </w:r>
      <w:r w:rsidR="005B6313" w:rsidRPr="00A11CEA">
        <w:rPr>
          <w:b/>
          <w:bCs/>
          <w:color w:val="000000"/>
        </w:rPr>
        <w:t xml:space="preserve">,- </w:t>
      </w:r>
      <w:r w:rsidR="00C912D2" w:rsidRPr="00A11CEA">
        <w:rPr>
          <w:b/>
        </w:rPr>
        <w:t>Ft +</w:t>
      </w:r>
      <w:r w:rsidR="001E6C9A">
        <w:rPr>
          <w:b/>
        </w:rPr>
        <w:t xml:space="preserve"> </w:t>
      </w:r>
      <w:r w:rsidR="00C912D2" w:rsidRPr="00A11CEA">
        <w:rPr>
          <w:b/>
        </w:rPr>
        <w:t xml:space="preserve">Áfa, </w:t>
      </w:r>
      <w:r w:rsidR="00C912D2" w:rsidRPr="007C7674">
        <w:rPr>
          <w:b/>
          <w:i/>
        </w:rPr>
        <w:t xml:space="preserve">azaz </w:t>
      </w:r>
      <w:r w:rsidR="00106ECF">
        <w:rPr>
          <w:b/>
          <w:i/>
        </w:rPr>
        <w:t>hétszáznegyvenkilencezer-kilencszáz</w:t>
      </w:r>
      <w:r w:rsidR="003E7C3A" w:rsidRPr="007C7674">
        <w:rPr>
          <w:b/>
          <w:i/>
        </w:rPr>
        <w:t xml:space="preserve"> forint</w:t>
      </w:r>
      <w:r w:rsidR="00C912D2" w:rsidRPr="007C7674">
        <w:rPr>
          <w:b/>
          <w:i/>
        </w:rPr>
        <w:t xml:space="preserve"> + általános forgalmi adó.</w:t>
      </w:r>
    </w:p>
    <w:p w:rsidR="00C912D2" w:rsidRPr="007C7674" w:rsidRDefault="00C912D2" w:rsidP="00C912D2">
      <w:pPr>
        <w:tabs>
          <w:tab w:val="left" w:pos="4111"/>
        </w:tabs>
        <w:spacing w:line="276" w:lineRule="auto"/>
        <w:jc w:val="both"/>
        <w:rPr>
          <w:b/>
          <w:i/>
        </w:rPr>
      </w:pPr>
    </w:p>
    <w:p w:rsidR="00C912D2" w:rsidRDefault="00106ECF" w:rsidP="002941A4">
      <w:pPr>
        <w:tabs>
          <w:tab w:val="left" w:pos="4111"/>
        </w:tabs>
        <w:spacing w:line="276" w:lineRule="auto"/>
        <w:jc w:val="both"/>
        <w:rPr>
          <w:b/>
          <w:i/>
        </w:rPr>
      </w:pPr>
      <w:r>
        <w:rPr>
          <w:b/>
        </w:rPr>
        <w:t>Minimálár: 749.900</w:t>
      </w:r>
      <w:r w:rsidR="00741C82" w:rsidRPr="00A11CEA">
        <w:rPr>
          <w:b/>
          <w:bCs/>
          <w:color w:val="000000"/>
        </w:rPr>
        <w:t xml:space="preserve">- </w:t>
      </w:r>
      <w:r w:rsidR="00741C82" w:rsidRPr="00A11CEA">
        <w:rPr>
          <w:b/>
        </w:rPr>
        <w:t xml:space="preserve">Ft +Áfa, </w:t>
      </w:r>
      <w:r w:rsidR="00741C82" w:rsidRPr="007C7674">
        <w:rPr>
          <w:b/>
          <w:i/>
        </w:rPr>
        <w:t xml:space="preserve">azaz </w:t>
      </w:r>
      <w:r>
        <w:rPr>
          <w:b/>
          <w:i/>
        </w:rPr>
        <w:t>hétszáznegyvenkilencezer-kilencszáz f</w:t>
      </w:r>
      <w:r w:rsidR="00741C82" w:rsidRPr="007C7674">
        <w:rPr>
          <w:b/>
          <w:i/>
        </w:rPr>
        <w:t>orint</w:t>
      </w:r>
      <w:r w:rsidR="00741C82">
        <w:rPr>
          <w:b/>
          <w:i/>
        </w:rPr>
        <w:t xml:space="preserve"> + általános forgalmi adó,</w:t>
      </w:r>
      <w:r w:rsidR="007811A9" w:rsidRPr="007C7674">
        <w:rPr>
          <w:b/>
          <w:i/>
        </w:rPr>
        <w:t xml:space="preserve"> amely</w:t>
      </w:r>
      <w:r w:rsidR="00134F55">
        <w:rPr>
          <w:b/>
          <w:i/>
        </w:rPr>
        <w:t xml:space="preserve"> a becsérték</w:t>
      </w:r>
      <w:r>
        <w:rPr>
          <w:b/>
          <w:i/>
        </w:rPr>
        <w:t xml:space="preserve"> 10</w:t>
      </w:r>
      <w:r w:rsidR="004343AC">
        <w:rPr>
          <w:b/>
          <w:i/>
        </w:rPr>
        <w:t>0</w:t>
      </w:r>
      <w:r w:rsidR="00C912D2" w:rsidRPr="007C7674">
        <w:rPr>
          <w:b/>
          <w:i/>
        </w:rPr>
        <w:t>%-a.</w:t>
      </w:r>
    </w:p>
    <w:p w:rsidR="00106ECF" w:rsidRPr="007C7674" w:rsidRDefault="00106ECF" w:rsidP="002941A4">
      <w:pPr>
        <w:tabs>
          <w:tab w:val="left" w:pos="4111"/>
        </w:tabs>
        <w:spacing w:line="276" w:lineRule="auto"/>
        <w:jc w:val="both"/>
        <w:rPr>
          <w:b/>
          <w:i/>
        </w:rPr>
      </w:pPr>
    </w:p>
    <w:p w:rsidR="00C912D2" w:rsidRPr="00A11CEA" w:rsidRDefault="00C912D2" w:rsidP="00C912D2">
      <w:pPr>
        <w:spacing w:line="276" w:lineRule="auto"/>
        <w:rPr>
          <w:b/>
          <w:iCs/>
        </w:rPr>
      </w:pPr>
      <w:r w:rsidRPr="00A11CEA">
        <w:rPr>
          <w:b/>
        </w:rPr>
        <w:t xml:space="preserve">Ajánlati biztosíték összege: </w:t>
      </w:r>
      <w:r w:rsidR="00106ECF">
        <w:rPr>
          <w:b/>
        </w:rPr>
        <w:t>37.495</w:t>
      </w:r>
      <w:r w:rsidR="007811A9" w:rsidRPr="00A11CEA">
        <w:rPr>
          <w:b/>
        </w:rPr>
        <w:t xml:space="preserve">,- </w:t>
      </w:r>
      <w:r w:rsidRPr="00A11CEA">
        <w:rPr>
          <w:b/>
        </w:rPr>
        <w:t xml:space="preserve">Ft, </w:t>
      </w:r>
      <w:r w:rsidRPr="007C7674">
        <w:rPr>
          <w:b/>
          <w:i/>
          <w:iCs/>
        </w:rPr>
        <w:t>azaz</w:t>
      </w:r>
      <w:r w:rsidR="001E6C9A">
        <w:rPr>
          <w:b/>
          <w:i/>
          <w:iCs/>
        </w:rPr>
        <w:t xml:space="preserve"> </w:t>
      </w:r>
      <w:r w:rsidR="00106ECF">
        <w:rPr>
          <w:b/>
          <w:i/>
          <w:iCs/>
        </w:rPr>
        <w:t xml:space="preserve">harminchétezer – négyszázkilencvenöt </w:t>
      </w:r>
      <w:r w:rsidRPr="007C7674">
        <w:rPr>
          <w:b/>
          <w:i/>
          <w:iCs/>
        </w:rPr>
        <w:t>forint</w:t>
      </w:r>
      <w:r w:rsidRPr="00A11CEA">
        <w:rPr>
          <w:b/>
          <w:iCs/>
        </w:rPr>
        <w:t>.</w:t>
      </w:r>
    </w:p>
    <w:p w:rsidR="00C912D2" w:rsidRDefault="00C912D2" w:rsidP="00C912D2">
      <w:pPr>
        <w:tabs>
          <w:tab w:val="left" w:pos="4111"/>
        </w:tabs>
        <w:spacing w:line="276" w:lineRule="auto"/>
        <w:jc w:val="both"/>
        <w:rPr>
          <w:b/>
        </w:rPr>
      </w:pPr>
      <w:r w:rsidRPr="00A11CEA">
        <w:rPr>
          <w:b/>
        </w:rPr>
        <w:t>A</w:t>
      </w:r>
      <w:r w:rsidR="009F7B03">
        <w:rPr>
          <w:b/>
        </w:rPr>
        <w:t xml:space="preserve"> tárgyi eszközökre</w:t>
      </w:r>
      <w:r w:rsidRPr="00A11CEA">
        <w:rPr>
          <w:b/>
        </w:rPr>
        <w:t xml:space="preserve"> csak egyben lehet ajánlatot tenni!</w:t>
      </w:r>
    </w:p>
    <w:p w:rsidR="00B03945" w:rsidRPr="00A11CEA" w:rsidRDefault="00B03945" w:rsidP="00C912D2">
      <w:pPr>
        <w:tabs>
          <w:tab w:val="left" w:pos="4111"/>
        </w:tabs>
        <w:spacing w:line="276" w:lineRule="auto"/>
        <w:jc w:val="both"/>
        <w:rPr>
          <w:b/>
        </w:rPr>
      </w:pPr>
    </w:p>
    <w:p w:rsidR="00877B6D" w:rsidRDefault="00877B6D" w:rsidP="00877B6D">
      <w:pPr>
        <w:spacing w:line="276" w:lineRule="auto"/>
        <w:jc w:val="both"/>
      </w:pPr>
      <w:r w:rsidRPr="00B03945">
        <w:t>A felszámoló a 237/2009 (X.20.) Korm. rendelet szerint előírt értesítendő hitelező</w:t>
      </w:r>
      <w:r w:rsidR="00EA5478" w:rsidRPr="00B03945">
        <w:t>ke</w:t>
      </w:r>
      <w:r w:rsidRPr="00B03945">
        <w:t xml:space="preserve">t az </w:t>
      </w:r>
      <w:proofErr w:type="gramStart"/>
      <w:r w:rsidRPr="00B03945">
        <w:t>értékesítési</w:t>
      </w:r>
      <w:proofErr w:type="gramEnd"/>
      <w:r w:rsidRPr="00B03945">
        <w:t xml:space="preserve"> hirdetményről előzetesen tájékoztatta.</w:t>
      </w:r>
    </w:p>
    <w:p w:rsidR="009568B3" w:rsidRPr="00A11CEA" w:rsidRDefault="000E62E2" w:rsidP="00204D19">
      <w:pPr>
        <w:pStyle w:val="NormlWeb"/>
        <w:spacing w:line="276" w:lineRule="auto"/>
        <w:jc w:val="center"/>
        <w:rPr>
          <w:b/>
          <w:sz w:val="24"/>
          <w:szCs w:val="24"/>
        </w:rPr>
      </w:pPr>
      <w:r w:rsidRPr="00A11CEA">
        <w:rPr>
          <w:b/>
          <w:sz w:val="24"/>
          <w:szCs w:val="24"/>
        </w:rPr>
        <w:t>II.</w:t>
      </w:r>
    </w:p>
    <w:p w:rsidR="00106ECF" w:rsidRPr="00A15EC0" w:rsidRDefault="00106ECF" w:rsidP="00106ECF">
      <w:pPr>
        <w:spacing w:line="276" w:lineRule="auto"/>
        <w:jc w:val="both"/>
        <w:rPr>
          <w:b/>
        </w:rPr>
      </w:pPr>
      <w:r w:rsidRPr="006E2484">
        <w:t xml:space="preserve">A pályázónak a megpályázott vagyonelemek tekintetében meghatározott ajánlati biztosítékot (bánatpénzt) a pályázat benyújtása előtt be kell fizetnie, </w:t>
      </w:r>
      <w:r w:rsidRPr="006E2484">
        <w:rPr>
          <w:b/>
        </w:rPr>
        <w:t xml:space="preserve">az Adós Társaság K&amp;H Bank </w:t>
      </w:r>
      <w:proofErr w:type="spellStart"/>
      <w:r w:rsidRPr="006E2484">
        <w:rPr>
          <w:b/>
        </w:rPr>
        <w:t>Zrt-nél</w:t>
      </w:r>
      <w:proofErr w:type="spellEnd"/>
      <w:r w:rsidRPr="006E2484">
        <w:rPr>
          <w:b/>
        </w:rPr>
        <w:t xml:space="preserve"> vezetett 10404089-50526789-77801007 számú bankszámlájára.</w:t>
      </w:r>
    </w:p>
    <w:p w:rsidR="00106ECF" w:rsidRPr="00A15EC0" w:rsidRDefault="00106ECF" w:rsidP="00106ECF">
      <w:pPr>
        <w:spacing w:line="276" w:lineRule="auto"/>
        <w:jc w:val="both"/>
      </w:pPr>
    </w:p>
    <w:p w:rsidR="00106ECF" w:rsidRDefault="00106ECF" w:rsidP="00106ECF">
      <w:pPr>
        <w:spacing w:line="276" w:lineRule="auto"/>
        <w:jc w:val="both"/>
      </w:pPr>
      <w:r w:rsidRPr="00A15EC0">
        <w:lastRenderedPageBreak/>
        <w:t xml:space="preserve">A közlemény rovatban kérjük feltüntetni: </w:t>
      </w:r>
      <w:r>
        <w:t>„</w:t>
      </w:r>
      <w:r w:rsidR="00C476C8" w:rsidRPr="007B7094">
        <w:rPr>
          <w:b/>
          <w:bCs/>
        </w:rPr>
        <w:fldChar w:fldCharType="begin"/>
      </w:r>
      <w:r w:rsidRPr="007B7094">
        <w:rPr>
          <w:b/>
          <w:bCs/>
        </w:rPr>
        <w:instrText xml:space="preserve"> MERGEFIELD "Cégnév" </w:instrText>
      </w:r>
      <w:r w:rsidR="00C476C8" w:rsidRPr="007B7094">
        <w:rPr>
          <w:b/>
          <w:bCs/>
        </w:rPr>
        <w:fldChar w:fldCharType="separate"/>
      </w:r>
      <w:r>
        <w:rPr>
          <w:b/>
          <w:bCs/>
          <w:noProof/>
        </w:rPr>
        <w:t>Environ-Energie Energetikai Fejlesztő és Beruházó</w:t>
      </w:r>
      <w:r w:rsidRPr="007B7094">
        <w:rPr>
          <w:b/>
          <w:bCs/>
          <w:noProof/>
        </w:rPr>
        <w:t xml:space="preserve"> Kft.</w:t>
      </w:r>
      <w:r>
        <w:rPr>
          <w:b/>
          <w:bCs/>
          <w:noProof/>
        </w:rPr>
        <w:t xml:space="preserve"> "f.</w:t>
      </w:r>
      <w:r w:rsidRPr="007B7094">
        <w:rPr>
          <w:b/>
          <w:bCs/>
          <w:noProof/>
        </w:rPr>
        <w:t xml:space="preserve"> a</w:t>
      </w:r>
      <w:r>
        <w:rPr>
          <w:b/>
          <w:bCs/>
          <w:noProof/>
        </w:rPr>
        <w:t>.</w:t>
      </w:r>
      <w:r w:rsidRPr="007B7094">
        <w:rPr>
          <w:b/>
          <w:bCs/>
          <w:noProof/>
        </w:rPr>
        <w:t>"</w:t>
      </w:r>
      <w:r w:rsidR="00C476C8" w:rsidRPr="007B7094">
        <w:rPr>
          <w:b/>
          <w:bCs/>
        </w:rPr>
        <w:fldChar w:fldCharType="end"/>
      </w:r>
      <w:r>
        <w:rPr>
          <w:b/>
          <w:bCs/>
        </w:rPr>
        <w:t>és az EÉR azonosító</w:t>
      </w:r>
      <w:r w:rsidRPr="00A15EC0">
        <w:t>”.</w:t>
      </w:r>
    </w:p>
    <w:p w:rsidR="00106ECF" w:rsidRPr="00A15EC0" w:rsidRDefault="00106ECF" w:rsidP="00106ECF">
      <w:pPr>
        <w:spacing w:line="276" w:lineRule="auto"/>
        <w:jc w:val="both"/>
      </w:pPr>
    </w:p>
    <w:p w:rsidR="00106ECF" w:rsidRPr="003D01E9" w:rsidRDefault="00106ECF" w:rsidP="00106ECF">
      <w:pPr>
        <w:spacing w:line="276" w:lineRule="auto"/>
        <w:jc w:val="both"/>
      </w:pPr>
      <w:r w:rsidRPr="003D01E9">
        <w:t>Az ajánlati biztosíték vétel esetén a vételárba beszámításra, eredménytelen pályázat esetén a pályázat elbírálásától számított 8 munkanapon belül visszafizetésre kerül.</w:t>
      </w:r>
    </w:p>
    <w:p w:rsidR="00106ECF" w:rsidRPr="001E7FD8" w:rsidRDefault="00106ECF" w:rsidP="00106ECF">
      <w:pPr>
        <w:spacing w:line="276" w:lineRule="auto"/>
        <w:jc w:val="both"/>
      </w:pPr>
      <w:r w:rsidRPr="001E7FD8">
        <w:t>Az ajánlati biztosíték fizetési kötelezettség csak abban az esetben tekintendő teljesítettnek,</w:t>
      </w:r>
      <w:r>
        <w:t xml:space="preserve"> ha</w:t>
      </w:r>
      <w:r w:rsidR="001E6C9A">
        <w:t xml:space="preserve"> </w:t>
      </w:r>
      <w:r w:rsidRPr="008C4557">
        <w:t xml:space="preserve">az ajánlati biztosíték </w:t>
      </w:r>
      <w:r>
        <w:t xml:space="preserve">teljes összege </w:t>
      </w:r>
      <w:r w:rsidRPr="008C4557">
        <w:t xml:space="preserve">az értékesítés megkezdése előtt legkésőbb 24 órával </w:t>
      </w:r>
      <w:r w:rsidRPr="001E7FD8">
        <w:t>az előbbiekben megadott bankszámlán h</w:t>
      </w:r>
      <w:r>
        <w:t>iánytalanul jóváírásra kerül.</w:t>
      </w:r>
    </w:p>
    <w:p w:rsidR="00204D19" w:rsidRPr="00A11CEA" w:rsidRDefault="007071A7" w:rsidP="00501C48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7C7674">
        <w:rPr>
          <w:b/>
          <w:i/>
        </w:rPr>
        <w:t>Az ajánlati biztosítékkal kapcsolatos egyéb közlemény:</w:t>
      </w:r>
      <w:r w:rsidR="001E6C9A">
        <w:rPr>
          <w:b/>
          <w:i/>
        </w:rPr>
        <w:t xml:space="preserve"> </w:t>
      </w:r>
      <w:r w:rsidRPr="00A11CEA">
        <w:rPr>
          <w:b/>
        </w:rPr>
        <w:t>az ajánlati biztosíték megfizetése feltétele a pályázaton való részvételnek.</w:t>
      </w:r>
      <w:r w:rsidRPr="00A11CEA">
        <w:t xml:space="preserve"> Ha a pályázati eljárás eredményes, az ajánlati biztosíték a nyertes pályázónál a vételárba beszámításra kerül, a többi pályázó esetében pedig az ajánlati biztosíték teljes összege az eredményhirdetés napjától - a </w:t>
      </w:r>
      <w:proofErr w:type="spellStart"/>
      <w:r w:rsidRPr="00A11CEA">
        <w:t>Cstv</w:t>
      </w:r>
      <w:proofErr w:type="spellEnd"/>
      <w:r w:rsidRPr="00A11CEA">
        <w:t>. 49/A.§(4) bekezdése szerinti ártárgyalás esetén, az ártárgyalás eredményhirdetésének napjától - számított 8 munkanapon belül visszautalásra kerül. Ha pályázati eljárás eredménytelen, az ajánlati biztosíték teljes összege a pályázóknak az eredményhirdetéstől számított 8 munkanapon belül visszautalásra kerül. Ha a szerződés a nyertes pályázó érdekkörében felmerülő okból nem jön létre, ide értve azt az esetet is, ha a pályázó a jelen pályázati kiírásban foglalt bármely feltételt nem tartja be, vagy a nyertes pályázó a vételárat az előírt határidőben nem fizeti meg, az ajánlati biztosítékot a pályázó elveszíti, a felszámoló ezt az összeget az értékesítési bevétel részeként számolja el.</w:t>
      </w:r>
      <w:r w:rsidR="001E6C9A">
        <w:t xml:space="preserve"> </w:t>
      </w:r>
      <w:r w:rsidR="00204D19" w:rsidRPr="00A11CEA">
        <w:rPr>
          <w:b/>
          <w:bCs/>
        </w:rPr>
        <w:t>A felszámoló az ajánlati biztosíték után kamatot nem fizet.</w:t>
      </w:r>
    </w:p>
    <w:p w:rsidR="00204D19" w:rsidRDefault="00204D19" w:rsidP="00204D19">
      <w:pPr>
        <w:pStyle w:val="NormlWeb"/>
        <w:spacing w:line="276" w:lineRule="auto"/>
        <w:rPr>
          <w:bCs/>
          <w:color w:val="auto"/>
          <w:sz w:val="24"/>
          <w:szCs w:val="24"/>
        </w:rPr>
      </w:pPr>
      <w:r w:rsidRPr="00A11CEA">
        <w:rPr>
          <w:bCs/>
          <w:color w:val="auto"/>
          <w:sz w:val="24"/>
          <w:szCs w:val="24"/>
        </w:rPr>
        <w:t>A felszámolónak – a vagyonfelmérés, valamint az adós vagyonára vonatkozó adatok alapján –elővásárlásra jogosultról nincs tudomása.</w:t>
      </w:r>
    </w:p>
    <w:p w:rsidR="00204D19" w:rsidRPr="00A11CEA" w:rsidRDefault="00204D19" w:rsidP="00204D19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A11CEA">
        <w:rPr>
          <w:b/>
          <w:bCs/>
        </w:rPr>
        <w:t>A felszámoló a kellékszavatosságot és a garanciát teljes körűen kizárja.</w:t>
      </w:r>
    </w:p>
    <w:p w:rsidR="00204D19" w:rsidRPr="00A11CEA" w:rsidRDefault="00204D19" w:rsidP="00204D19">
      <w:pPr>
        <w:spacing w:line="276" w:lineRule="auto"/>
        <w:jc w:val="both"/>
        <w:rPr>
          <w:b/>
          <w:bCs/>
        </w:rPr>
      </w:pPr>
      <w:r w:rsidRPr="00A11CEA">
        <w:t>A vételár megfizetése csak átutalással történhet, az adásvételi szerződés aláírását követő 30 napon belül, a felszámoló szervezet előzőekben megadott bankszámlájára.</w:t>
      </w:r>
      <w:r w:rsidR="001E6C9A">
        <w:t xml:space="preserve"> </w:t>
      </w:r>
      <w:r w:rsidRPr="00A11CEA">
        <w:rPr>
          <w:b/>
          <w:bCs/>
        </w:rPr>
        <w:t>Részletfizetési lehetőség nincs.</w:t>
      </w:r>
    </w:p>
    <w:p w:rsidR="00204D19" w:rsidRPr="00A11CEA" w:rsidRDefault="00204D19" w:rsidP="00204D19">
      <w:pPr>
        <w:pStyle w:val="NormlWeb"/>
        <w:spacing w:line="276" w:lineRule="auto"/>
        <w:rPr>
          <w:b/>
          <w:sz w:val="24"/>
          <w:szCs w:val="24"/>
        </w:rPr>
      </w:pPr>
      <w:r w:rsidRPr="00A11CEA">
        <w:rPr>
          <w:b/>
          <w:sz w:val="24"/>
          <w:szCs w:val="24"/>
        </w:rPr>
        <w:t>A pályázatnak tartalmaznia kell:</w:t>
      </w:r>
    </w:p>
    <w:p w:rsidR="00204D19" w:rsidRPr="00A11CEA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11CEA">
        <w:rPr>
          <w:sz w:val="24"/>
          <w:szCs w:val="24"/>
        </w:rPr>
        <w:t xml:space="preserve">A pályázó szerződéskötéshez szükséges minden adatát. </w:t>
      </w:r>
      <w:r w:rsidRPr="00A11CEA">
        <w:rPr>
          <w:b/>
          <w:i/>
          <w:sz w:val="24"/>
          <w:szCs w:val="24"/>
        </w:rPr>
        <w:t>Jogi személy esetén:</w:t>
      </w:r>
      <w:r w:rsidRPr="00A11CEA">
        <w:rPr>
          <w:sz w:val="24"/>
          <w:szCs w:val="24"/>
        </w:rPr>
        <w:t xml:space="preserve"> cég név, székhely, 30 napnál nem régebbi cégkivonat, a rendelkezésre jogosult képviselő aláírási címpéldánya. Elektronikus elérhetőség és a telefonszám. </w:t>
      </w:r>
      <w:r w:rsidRPr="00A11CEA">
        <w:rPr>
          <w:b/>
          <w:i/>
          <w:sz w:val="24"/>
          <w:szCs w:val="24"/>
        </w:rPr>
        <w:t>Magánszemély esetén:</w:t>
      </w:r>
      <w:r w:rsidRPr="00A11CEA">
        <w:rPr>
          <w:sz w:val="24"/>
          <w:szCs w:val="24"/>
        </w:rPr>
        <w:t xml:space="preserve"> név, születési hely, idő, anyja neve, személyi igazolvány száma, adóazonosító jele, lakcíme, továbbá a pályázó telefon - és faxszáma, e-mail elérhetősége. Cég esetén, csak cégszerű aláírást fogad el a felszámoló hitelesnek, magánszemély pályázó esetén két tanú aláírásával kell hitelesíteni, hogy a pályázó pályázatát személyesen írta alá.</w:t>
      </w:r>
    </w:p>
    <w:p w:rsidR="00204D19" w:rsidRPr="00A11CEA" w:rsidRDefault="00B6358D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11CEA">
        <w:rPr>
          <w:sz w:val="24"/>
          <w:szCs w:val="24"/>
        </w:rPr>
        <w:t>K</w:t>
      </w:r>
      <w:r w:rsidR="00204D19" w:rsidRPr="00A11CEA">
        <w:rPr>
          <w:sz w:val="24"/>
          <w:szCs w:val="24"/>
        </w:rPr>
        <w:t xml:space="preserve">ülföldi pályázó esetén a fenti dokumentumok hitelesített magyar nyelvű fordítását és magyar kézbesítési megbízott megjelölését kérjük. </w:t>
      </w:r>
    </w:p>
    <w:p w:rsidR="00204D19" w:rsidRPr="00A11CEA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11CEA">
        <w:rPr>
          <w:sz w:val="24"/>
          <w:szCs w:val="24"/>
        </w:rPr>
        <w:lastRenderedPageBreak/>
        <w:t>Amennyiben pályázó meghatalmazott útján nyújtja be ajánlatát, a meghatalmazott igénybevételére vonatkozóan a Pp</w:t>
      </w:r>
      <w:r w:rsidR="00B6358D" w:rsidRPr="00A11CEA">
        <w:rPr>
          <w:sz w:val="24"/>
          <w:szCs w:val="24"/>
        </w:rPr>
        <w:t xml:space="preserve">. </w:t>
      </w:r>
      <w:r w:rsidRPr="00A11CEA">
        <w:rPr>
          <w:sz w:val="24"/>
          <w:szCs w:val="24"/>
        </w:rPr>
        <w:t>(2016. évi CXXX. tv.) 64-70. §</w:t>
      </w:r>
      <w:r w:rsidR="001E6C9A">
        <w:rPr>
          <w:sz w:val="24"/>
          <w:szCs w:val="24"/>
        </w:rPr>
        <w:t xml:space="preserve"> </w:t>
      </w:r>
      <w:r w:rsidRPr="00A11CEA">
        <w:rPr>
          <w:sz w:val="24"/>
          <w:szCs w:val="24"/>
        </w:rPr>
        <w:t>-</w:t>
      </w:r>
      <w:proofErr w:type="spellStart"/>
      <w:r w:rsidRPr="00A11CEA">
        <w:rPr>
          <w:sz w:val="24"/>
          <w:szCs w:val="24"/>
        </w:rPr>
        <w:t>ban</w:t>
      </w:r>
      <w:proofErr w:type="spellEnd"/>
      <w:r w:rsidRPr="00A11CEA">
        <w:rPr>
          <w:sz w:val="24"/>
          <w:szCs w:val="24"/>
        </w:rPr>
        <w:t xml:space="preserve"> foglalt jogszabályok az irányadók.</w:t>
      </w:r>
    </w:p>
    <w:p w:rsidR="00204D19" w:rsidRPr="00A11CEA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11CEA">
        <w:rPr>
          <w:sz w:val="24"/>
          <w:szCs w:val="24"/>
        </w:rPr>
        <w:t xml:space="preserve">Külföldi szervezet esetén nyilatkozatot arra vonatkozóan, hogy a szerződéskötésig az ingatlan nyilvántartásba történő bejegyzéshez szükséges iratokat, így különösen az </w:t>
      </w:r>
      <w:proofErr w:type="spellStart"/>
      <w:r w:rsidRPr="00A11CEA">
        <w:rPr>
          <w:sz w:val="24"/>
          <w:szCs w:val="24"/>
        </w:rPr>
        <w:t>Inytv</w:t>
      </w:r>
      <w:proofErr w:type="spellEnd"/>
      <w:r w:rsidRPr="00A11CEA">
        <w:rPr>
          <w:sz w:val="24"/>
          <w:szCs w:val="24"/>
        </w:rPr>
        <w:t>. (1997. évi CXLI. tv.) 36. és 37. §-</w:t>
      </w:r>
      <w:proofErr w:type="spellStart"/>
      <w:r w:rsidRPr="00A11CEA">
        <w:rPr>
          <w:sz w:val="24"/>
          <w:szCs w:val="24"/>
        </w:rPr>
        <w:t>ban</w:t>
      </w:r>
      <w:proofErr w:type="spellEnd"/>
      <w:r w:rsidRPr="00A11CEA">
        <w:rPr>
          <w:sz w:val="24"/>
          <w:szCs w:val="24"/>
        </w:rPr>
        <w:t xml:space="preserve"> foglaltak </w:t>
      </w:r>
      <w:r w:rsidR="00B6358D" w:rsidRPr="00A11CEA">
        <w:rPr>
          <w:sz w:val="24"/>
          <w:szCs w:val="24"/>
        </w:rPr>
        <w:t>szerinti dokumentumokat átadja.</w:t>
      </w:r>
    </w:p>
    <w:p w:rsidR="00204D19" w:rsidRPr="00A11CEA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11CEA">
        <w:rPr>
          <w:sz w:val="24"/>
          <w:szCs w:val="24"/>
        </w:rPr>
        <w:t>A megpályázott vagyontárgy</w:t>
      </w:r>
      <w:r w:rsidR="00B6358D" w:rsidRPr="00A11CEA">
        <w:rPr>
          <w:sz w:val="24"/>
          <w:szCs w:val="24"/>
        </w:rPr>
        <w:t>ak</w:t>
      </w:r>
      <w:r w:rsidRPr="00A11CEA">
        <w:rPr>
          <w:sz w:val="24"/>
          <w:szCs w:val="24"/>
        </w:rPr>
        <w:t>ért felajánlott vételár összegét, a vételár megfizetésének módját, határidejét, amely nem lehet több</w:t>
      </w:r>
      <w:r w:rsidR="00B6358D" w:rsidRPr="00A11CEA">
        <w:rPr>
          <w:sz w:val="24"/>
          <w:szCs w:val="24"/>
        </w:rPr>
        <w:t>,</w:t>
      </w:r>
      <w:r w:rsidRPr="00A11CEA">
        <w:rPr>
          <w:sz w:val="24"/>
          <w:szCs w:val="24"/>
        </w:rPr>
        <w:t xml:space="preserve"> mint az adásvételi szerződés megkötését követő </w:t>
      </w:r>
      <w:r w:rsidRPr="00A11CEA">
        <w:rPr>
          <w:b/>
          <w:sz w:val="24"/>
          <w:szCs w:val="24"/>
        </w:rPr>
        <w:t>30 naptári nap.</w:t>
      </w:r>
    </w:p>
    <w:p w:rsidR="00204D19" w:rsidRPr="00A11CEA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11CEA">
        <w:rPr>
          <w:sz w:val="24"/>
          <w:szCs w:val="24"/>
        </w:rPr>
        <w:t>Az ajánlati biztosíték befizetéséről szóló igazolást, továbbá nyilatkozni kell arról is, hogy a befizetett ajánlati biztosítékot – az ajánlatának el nem fogadása esetén – milyen számlára kéri visszautalni a pályázó.</w:t>
      </w:r>
    </w:p>
    <w:p w:rsidR="00204D19" w:rsidRPr="00A11CEA" w:rsidRDefault="00204D19" w:rsidP="00204D19">
      <w:pPr>
        <w:pStyle w:val="NormlWeb"/>
        <w:numPr>
          <w:ilvl w:val="0"/>
          <w:numId w:val="2"/>
        </w:numPr>
        <w:spacing w:line="276" w:lineRule="auto"/>
        <w:ind w:left="360"/>
        <w:rPr>
          <w:sz w:val="24"/>
          <w:szCs w:val="24"/>
        </w:rPr>
      </w:pPr>
      <w:r w:rsidRPr="00A11CEA">
        <w:rPr>
          <w:sz w:val="24"/>
          <w:szCs w:val="24"/>
        </w:rPr>
        <w:t xml:space="preserve">A pályázat benyújtásának határidejétől számított </w:t>
      </w:r>
      <w:r w:rsidRPr="00A11CEA">
        <w:rPr>
          <w:b/>
          <w:bCs/>
          <w:sz w:val="24"/>
          <w:szCs w:val="24"/>
        </w:rPr>
        <w:t>60 napos ajánlati kötöttség vállalását</w:t>
      </w:r>
      <w:r w:rsidRPr="00A11CEA">
        <w:rPr>
          <w:sz w:val="24"/>
          <w:szCs w:val="24"/>
        </w:rPr>
        <w:t>.</w:t>
      </w:r>
    </w:p>
    <w:p w:rsidR="00204D19" w:rsidRPr="00A11CEA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A11CEA">
        <w:t xml:space="preserve">Nyilatkozatot arról, hogy a tenderfüzetben meghatározott tartalommal adás-vételi szerződést köt az értékelési jegyzőkönyv </w:t>
      </w:r>
      <w:r w:rsidRPr="00A11CEA">
        <w:rPr>
          <w:b/>
        </w:rPr>
        <w:t>EÉR-be</w:t>
      </w:r>
      <w:r w:rsidRPr="00A11CEA">
        <w:t xml:space="preserve"> történő feltöltését követő 30 napon belül.</w:t>
      </w:r>
    </w:p>
    <w:p w:rsidR="00204D19" w:rsidRPr="00A11CEA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A11CEA">
        <w:t>Nyilatkozatot a kellékszavatosság, a garanciális igény érvényesíthetősége kizárásának tudomásul vételéről.</w:t>
      </w:r>
    </w:p>
    <w:p w:rsidR="00204D19" w:rsidRPr="00A11CEA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A11CEA">
        <w:t xml:space="preserve">Nyilatkozatot arról, hogy vele szemben nem állnak fenn a </w:t>
      </w:r>
      <w:proofErr w:type="spellStart"/>
      <w:r w:rsidRPr="00A11CEA">
        <w:t>Cstv</w:t>
      </w:r>
      <w:proofErr w:type="spellEnd"/>
      <w:r w:rsidRPr="00A11CEA">
        <w:t>. 49. § (3) és (3b) bekezdésben meghatározott kirázó feltételek.</w:t>
      </w:r>
    </w:p>
    <w:p w:rsidR="001E7B96" w:rsidRPr="00A11CEA" w:rsidRDefault="001E7B96" w:rsidP="001E7B96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color w:val="000000" w:themeColor="text1"/>
        </w:rPr>
      </w:pPr>
      <w:r w:rsidRPr="00A11CEA">
        <w:rPr>
          <w:color w:val="000000" w:themeColor="text1"/>
        </w:rPr>
        <w:t>A megajánlott vételár fedezetének hitelt érdemlő igazolásként, banki igazolás bemutatása szükséges.</w:t>
      </w:r>
    </w:p>
    <w:p w:rsidR="00204D19" w:rsidRPr="00A11CEA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A11CEA">
        <w:t xml:space="preserve">Nyilatkozatot, hogy sikertelen pályázat esetén, </w:t>
      </w:r>
      <w:r w:rsidRPr="00A11CEA">
        <w:rPr>
          <w:b/>
        </w:rPr>
        <w:t>milyen bankszámlára lehet a bánatpénzt visszautalni.</w:t>
      </w:r>
    </w:p>
    <w:p w:rsidR="00204D19" w:rsidRPr="00A11CEA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  <w:rPr>
          <w:b/>
        </w:rPr>
      </w:pPr>
      <w:r w:rsidRPr="00A11CEA">
        <w:t xml:space="preserve">Nyilatkozatot, hogy elfogadja-e az e-mailen keresztül történő </w:t>
      </w:r>
      <w:r w:rsidRPr="00A11CEA">
        <w:rPr>
          <w:b/>
        </w:rPr>
        <w:t>értesítést, amennyiben igen, azt milyen e-mail címre kéri, amelyet adjon meg.</w:t>
      </w:r>
    </w:p>
    <w:p w:rsidR="00204D19" w:rsidRDefault="00204D19" w:rsidP="00204D19">
      <w:pPr>
        <w:pStyle w:val="Listaszerbekezds"/>
        <w:numPr>
          <w:ilvl w:val="0"/>
          <w:numId w:val="2"/>
        </w:numPr>
        <w:suppressAutoHyphens/>
        <w:ind w:left="360"/>
        <w:jc w:val="both"/>
      </w:pPr>
      <w:r w:rsidRPr="00A11CEA">
        <w:t>Nyilatkozni kell továbbá arról, hogy a pályázó az adásvételi szerződés szerkesztésének és ellenjegyzésének ügyvédi költségét megtéríti. A szerződést a felszámoló által meghatározott ügyvédi iroda készíti. A szerződéskötés jogi eljárásának költsége a bruttó vételár 1</w:t>
      </w:r>
      <w:r w:rsidR="00877B6D">
        <w:t>,5</w:t>
      </w:r>
      <w:r w:rsidRPr="00A11CEA">
        <w:t>%-a +Á</w:t>
      </w:r>
      <w:r w:rsidR="00501C48">
        <w:t>fa</w:t>
      </w:r>
      <w:r w:rsidRPr="00A11CEA">
        <w:t xml:space="preserve">, de minimum </w:t>
      </w:r>
      <w:r w:rsidR="00877B6D">
        <w:t>100</w:t>
      </w:r>
      <w:r w:rsidRPr="00A11CEA">
        <w:t>.000</w:t>
      </w:r>
      <w:r w:rsidR="00877B6D">
        <w:t>,-</w:t>
      </w:r>
      <w:r w:rsidRPr="00A11CEA">
        <w:t xml:space="preserve"> Ft. </w:t>
      </w:r>
    </w:p>
    <w:p w:rsidR="009F7B03" w:rsidRPr="00A11CEA" w:rsidRDefault="009F7B03" w:rsidP="009F7B03">
      <w:pPr>
        <w:pStyle w:val="Listaszerbekezds"/>
        <w:suppressAutoHyphens/>
        <w:ind w:left="360"/>
        <w:jc w:val="both"/>
      </w:pPr>
    </w:p>
    <w:p w:rsidR="009F7B03" w:rsidRPr="00A15EC0" w:rsidRDefault="009F7B03" w:rsidP="009F7B03">
      <w:pPr>
        <w:spacing w:line="276" w:lineRule="auto"/>
        <w:jc w:val="both"/>
      </w:pPr>
      <w:r w:rsidRPr="00A15EC0">
        <w:t xml:space="preserve">A Felszámoló az értékesítéssel kapcsolatban írásos ajánlatokat kér benyújtani, melyeket az </w:t>
      </w:r>
      <w:r w:rsidR="006C2CC1" w:rsidRPr="006C2CC1">
        <w:rPr>
          <w:b/>
        </w:rPr>
        <w:t>KRÍZIS KONTROLL</w:t>
      </w:r>
      <w:r w:rsidRPr="009F7B03">
        <w:rPr>
          <w:b/>
        </w:rPr>
        <w:t xml:space="preserve"> Kft</w:t>
      </w:r>
      <w:r w:rsidRPr="00A15EC0">
        <w:t xml:space="preserve">. által feltöltött hirdetmény alapján az Elektronikus Értékesítési Rendszer </w:t>
      </w:r>
      <w:r w:rsidRPr="009F7B03">
        <w:rPr>
          <w:b/>
        </w:rPr>
        <w:t>(EÉR)</w:t>
      </w:r>
      <w:r w:rsidRPr="00A15EC0">
        <w:t xml:space="preserve"> igénybevételével, elektronikusan nyújtható be.</w:t>
      </w:r>
    </w:p>
    <w:p w:rsidR="009F7B03" w:rsidRPr="00A15EC0" w:rsidRDefault="009F7B03" w:rsidP="009F7B03">
      <w:pPr>
        <w:pStyle w:val="NormlWeb"/>
        <w:spacing w:line="276" w:lineRule="auto"/>
        <w:rPr>
          <w:rStyle w:val="Kiemels2"/>
          <w:sz w:val="24"/>
          <w:szCs w:val="24"/>
        </w:rPr>
      </w:pPr>
      <w:r w:rsidRPr="00A15EC0">
        <w:rPr>
          <w:rStyle w:val="Kiemels2"/>
          <w:sz w:val="24"/>
          <w:szCs w:val="24"/>
        </w:rPr>
        <w:t>A pályázat benyújtásának kezdő időpontja a Cégközlönybeli közzétételtől számított 1</w:t>
      </w:r>
      <w:r w:rsidR="00106ECF">
        <w:rPr>
          <w:rStyle w:val="Kiemels2"/>
          <w:sz w:val="24"/>
          <w:szCs w:val="24"/>
        </w:rPr>
        <w:t>5</w:t>
      </w:r>
      <w:r w:rsidRPr="00A15EC0">
        <w:rPr>
          <w:rStyle w:val="Kiemels2"/>
          <w:sz w:val="24"/>
          <w:szCs w:val="24"/>
        </w:rPr>
        <w:t>. nap 8:00 óra.</w:t>
      </w:r>
    </w:p>
    <w:p w:rsidR="009F7B03" w:rsidRPr="00A15EC0" w:rsidRDefault="009F7B03" w:rsidP="009F7B03">
      <w:pPr>
        <w:pStyle w:val="NormlWeb"/>
        <w:spacing w:line="276" w:lineRule="auto"/>
        <w:rPr>
          <w:b/>
          <w:sz w:val="24"/>
          <w:szCs w:val="24"/>
        </w:rPr>
      </w:pPr>
      <w:r w:rsidRPr="00A15EC0">
        <w:rPr>
          <w:rStyle w:val="Kiemels2"/>
          <w:sz w:val="24"/>
          <w:szCs w:val="24"/>
        </w:rPr>
        <w:t>A pályázat benyújtásának záró időpontja a pályázat benyújtásának kezdő időpontját követő 15. nap 16:00 óra.</w:t>
      </w:r>
    </w:p>
    <w:p w:rsidR="00204D19" w:rsidRPr="00A11CEA" w:rsidRDefault="00204D19" w:rsidP="00501C48">
      <w:pPr>
        <w:pStyle w:val="NormlWeb"/>
        <w:spacing w:before="0" w:after="0"/>
        <w:rPr>
          <w:b/>
          <w:sz w:val="24"/>
          <w:szCs w:val="24"/>
        </w:rPr>
      </w:pPr>
      <w:r w:rsidRPr="00A11CEA">
        <w:rPr>
          <w:b/>
          <w:sz w:val="24"/>
          <w:szCs w:val="24"/>
        </w:rPr>
        <w:t xml:space="preserve">A pályázatok kiértékelésére a </w:t>
      </w:r>
      <w:r w:rsidRPr="00A11CEA">
        <w:rPr>
          <w:b/>
          <w:bCs/>
          <w:sz w:val="24"/>
          <w:szCs w:val="24"/>
        </w:rPr>
        <w:t>pályázat benyújtásának záró időpontját</w:t>
      </w:r>
      <w:r w:rsidRPr="00A11CEA">
        <w:rPr>
          <w:b/>
          <w:sz w:val="24"/>
          <w:szCs w:val="24"/>
        </w:rPr>
        <w:t xml:space="preserve"> követő 20 napon belül kerül sor.</w:t>
      </w:r>
    </w:p>
    <w:p w:rsidR="00204D19" w:rsidRPr="00A11CEA" w:rsidRDefault="00204D19" w:rsidP="00204D19">
      <w:pPr>
        <w:pStyle w:val="NormlWeb"/>
        <w:spacing w:before="0" w:after="0" w:line="276" w:lineRule="auto"/>
        <w:rPr>
          <w:sz w:val="24"/>
          <w:szCs w:val="24"/>
        </w:rPr>
      </w:pPr>
      <w:r w:rsidRPr="00A11CEA">
        <w:rPr>
          <w:sz w:val="24"/>
          <w:szCs w:val="24"/>
        </w:rPr>
        <w:t>Az Á</w:t>
      </w:r>
      <w:r w:rsidR="00501C48">
        <w:rPr>
          <w:sz w:val="24"/>
          <w:szCs w:val="24"/>
        </w:rPr>
        <w:t>fa</w:t>
      </w:r>
      <w:r w:rsidRPr="00A11CEA">
        <w:rPr>
          <w:sz w:val="24"/>
          <w:szCs w:val="24"/>
        </w:rPr>
        <w:t>-</w:t>
      </w:r>
      <w:proofErr w:type="spellStart"/>
      <w:r w:rsidRPr="00A11CEA">
        <w:rPr>
          <w:sz w:val="24"/>
          <w:szCs w:val="24"/>
        </w:rPr>
        <w:t>ra</w:t>
      </w:r>
      <w:proofErr w:type="spellEnd"/>
      <w:r w:rsidRPr="00A11CEA">
        <w:rPr>
          <w:sz w:val="24"/>
          <w:szCs w:val="24"/>
        </w:rPr>
        <w:t xml:space="preserve"> vonatkozóan a </w:t>
      </w:r>
      <w:r w:rsidR="00B6358D" w:rsidRPr="00A11CEA">
        <w:rPr>
          <w:sz w:val="24"/>
          <w:szCs w:val="24"/>
        </w:rPr>
        <w:t xml:space="preserve">mindenkor </w:t>
      </w:r>
      <w:r w:rsidRPr="00A11CEA">
        <w:rPr>
          <w:sz w:val="24"/>
          <w:szCs w:val="24"/>
        </w:rPr>
        <w:t>hatályos jogszabályok az irányadók, a pályázati irányárak az Á</w:t>
      </w:r>
      <w:r w:rsidR="00501C48">
        <w:rPr>
          <w:sz w:val="24"/>
          <w:szCs w:val="24"/>
        </w:rPr>
        <w:t>fa</w:t>
      </w:r>
      <w:r w:rsidRPr="00A11CEA">
        <w:rPr>
          <w:sz w:val="24"/>
          <w:szCs w:val="24"/>
        </w:rPr>
        <w:t xml:space="preserve">-t nem tartalmazzák. </w:t>
      </w:r>
      <w:r w:rsidRPr="00501C48">
        <w:rPr>
          <w:b/>
          <w:i/>
          <w:sz w:val="24"/>
          <w:szCs w:val="24"/>
        </w:rPr>
        <w:t>A pályázat során a pályázók nettó értéken pályáznak.</w:t>
      </w:r>
    </w:p>
    <w:p w:rsidR="00204D19" w:rsidRPr="00A11CEA" w:rsidRDefault="00204D19" w:rsidP="00204D19">
      <w:pPr>
        <w:pStyle w:val="NormlWeb"/>
        <w:spacing w:before="0" w:after="0" w:line="276" w:lineRule="auto"/>
        <w:rPr>
          <w:sz w:val="24"/>
          <w:szCs w:val="24"/>
        </w:rPr>
      </w:pPr>
      <w:r w:rsidRPr="00A11CEA">
        <w:rPr>
          <w:sz w:val="24"/>
          <w:szCs w:val="24"/>
        </w:rPr>
        <w:lastRenderedPageBreak/>
        <w:t>Az érvényesnek nyilvánított pályázatok közül az a pályázat nyer, mely a vételár, a fizetés módja, és a fizetési határideje szempontjából a felszámoló által elfogadható, legelőnyösebb ajánlatot tartalmazza. Ennek elbírálása során a vételár összegét súlyozottabban veszi figyelembe a felszámolóbiztos.</w:t>
      </w:r>
    </w:p>
    <w:p w:rsidR="00536CDC" w:rsidRPr="00A11CEA" w:rsidRDefault="00204D19" w:rsidP="00204D19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A11CEA">
        <w:rPr>
          <w:b/>
        </w:rPr>
        <w:t>Az adásvételi szerződés megkötésére a pályázat eredményének közlésétől számított 30 napon belül kerül sor,</w:t>
      </w:r>
      <w:r w:rsidRPr="00A11CEA">
        <w:t xml:space="preserve"> melynek időpontjáról a felszámoló írásban, e-papíron, e-mailen értesíti a nyertes pályázót.</w:t>
      </w:r>
    </w:p>
    <w:p w:rsidR="00204D19" w:rsidRPr="00A11CEA" w:rsidRDefault="00204D19" w:rsidP="00050F01">
      <w:pPr>
        <w:spacing w:before="100" w:beforeAutospacing="1" w:after="100" w:afterAutospacing="1" w:line="276" w:lineRule="auto"/>
        <w:jc w:val="both"/>
      </w:pPr>
      <w:r w:rsidRPr="00A11CEA">
        <w:rPr>
          <w:b/>
          <w:i/>
          <w:color w:val="000000"/>
        </w:rPr>
        <w:t>A szerződéskötés feltétele az EÉR rendszer üzemeltető számára történő, a felszámoló által véglegesnek elfogadott vételár 1%</w:t>
      </w:r>
      <w:r w:rsidRPr="00A11CEA">
        <w:rPr>
          <w:color w:val="000000"/>
        </w:rPr>
        <w:t xml:space="preserve"> -</w:t>
      </w:r>
      <w:proofErr w:type="spellStart"/>
      <w:r w:rsidRPr="00A11CEA">
        <w:rPr>
          <w:b/>
          <w:i/>
          <w:color w:val="000000"/>
        </w:rPr>
        <w:t>nak</w:t>
      </w:r>
      <w:proofErr w:type="spellEnd"/>
      <w:r w:rsidRPr="00A11CEA">
        <w:rPr>
          <w:b/>
          <w:i/>
          <w:color w:val="000000"/>
        </w:rPr>
        <w:t xml:space="preserve"> megfelelő mértékű jutalék fizetési kötelezettség teljesítése, amely nem része a vételárnak. </w:t>
      </w:r>
      <w:r w:rsidRPr="00A11CEA">
        <w:rPr>
          <w:color w:val="000000"/>
        </w:rPr>
        <w:t>A megkötendő adásvételi szerződésre a magyar jog az irányadó.</w:t>
      </w:r>
      <w:r w:rsidR="001E6C9A">
        <w:rPr>
          <w:color w:val="000000"/>
        </w:rPr>
        <w:t xml:space="preserve"> </w:t>
      </w:r>
      <w:r w:rsidRPr="00A11CEA">
        <w:t>Az adásvételi szerződés megkötésével kapcsolatosan felmerülő minden költség, díj és illeték a nyertes pályázót terheli.</w:t>
      </w:r>
    </w:p>
    <w:p w:rsidR="00204D19" w:rsidRPr="00A11CEA" w:rsidRDefault="00204D19" w:rsidP="00204D19">
      <w:pPr>
        <w:spacing w:after="160" w:line="259" w:lineRule="auto"/>
        <w:jc w:val="both"/>
        <w:rPr>
          <w:rFonts w:eastAsiaTheme="minorHAnsi"/>
          <w:lang w:eastAsia="en-US"/>
        </w:rPr>
      </w:pPr>
      <w:r w:rsidRPr="00A11CEA">
        <w:rPr>
          <w:rFonts w:eastAsiaTheme="minorHAnsi"/>
          <w:lang w:eastAsia="en-US"/>
        </w:rPr>
        <w:t xml:space="preserve">A </w:t>
      </w:r>
      <w:proofErr w:type="spellStart"/>
      <w:r w:rsidRPr="00A11CEA">
        <w:rPr>
          <w:rFonts w:eastAsiaTheme="minorHAnsi"/>
          <w:lang w:eastAsia="en-US"/>
        </w:rPr>
        <w:t>Cstv</w:t>
      </w:r>
      <w:proofErr w:type="spellEnd"/>
      <w:r w:rsidRPr="00A11CEA">
        <w:rPr>
          <w:rFonts w:eastAsiaTheme="minorHAnsi"/>
          <w:lang w:eastAsia="en-US"/>
        </w:rPr>
        <w:t xml:space="preserve">. 49/A. § (4) bekezdése értelmében több megfelelő, közel azonos értékű (a vételár vonatkozásában legfeljebb 10 %-kal eltérő) ajánlat esetén ártárgyalásra kerül sor az </w:t>
      </w:r>
      <w:r w:rsidRPr="00501C48">
        <w:rPr>
          <w:rFonts w:eastAsiaTheme="minorHAnsi"/>
          <w:b/>
          <w:lang w:eastAsia="en-US"/>
        </w:rPr>
        <w:t>EÉR</w:t>
      </w:r>
      <w:r w:rsidRPr="00A11CEA">
        <w:rPr>
          <w:rFonts w:eastAsiaTheme="minorHAnsi"/>
          <w:lang w:eastAsia="en-US"/>
        </w:rPr>
        <w:t xml:space="preserve"> rendszerének igénybevételével. </w:t>
      </w:r>
      <w:r w:rsidRPr="00A11CEA">
        <w:rPr>
          <w:rFonts w:eastAsiaTheme="minorHAnsi"/>
          <w:b/>
          <w:bCs/>
          <w:i/>
          <w:iCs/>
          <w:lang w:eastAsia="en-US"/>
        </w:rPr>
        <w:t>A rendszer üzenettel tájékoztatja az ártárgyalásra meghívott pályázókat az ártárgyalás fordulójának kezdő és záró időpontjáról.</w:t>
      </w:r>
    </w:p>
    <w:p w:rsidR="00380D09" w:rsidRPr="00050F01" w:rsidRDefault="00204D19" w:rsidP="00050F01">
      <w:pPr>
        <w:spacing w:after="160" w:line="259" w:lineRule="auto"/>
        <w:jc w:val="both"/>
        <w:rPr>
          <w:b/>
          <w:i/>
        </w:rPr>
      </w:pPr>
      <w:r w:rsidRPr="00A11CEA">
        <w:rPr>
          <w:rFonts w:eastAsiaTheme="minorHAnsi"/>
          <w:lang w:eastAsia="en-US"/>
        </w:rPr>
        <w:t>Az elővásárlási jog gyakorlását [</w:t>
      </w:r>
      <w:proofErr w:type="spellStart"/>
      <w:r w:rsidRPr="00A11CEA">
        <w:rPr>
          <w:rFonts w:eastAsiaTheme="minorHAnsi"/>
          <w:lang w:eastAsia="en-US"/>
        </w:rPr>
        <w:t>Cstv</w:t>
      </w:r>
      <w:proofErr w:type="spellEnd"/>
      <w:r w:rsidRPr="00A11CEA">
        <w:rPr>
          <w:rFonts w:eastAsiaTheme="minorHAnsi"/>
          <w:lang w:eastAsia="en-US"/>
        </w:rPr>
        <w:t>. 49/C. § (3) bekezdés] nem lehet az ajánlati biztosíték megfizetésétől függővé tenni. [237/2009. (X.20) Korm. rendelet 2. § -</w:t>
      </w:r>
      <w:proofErr w:type="spellStart"/>
      <w:r w:rsidRPr="00A11CEA">
        <w:rPr>
          <w:rFonts w:eastAsiaTheme="minorHAnsi"/>
          <w:lang w:eastAsia="en-US"/>
        </w:rPr>
        <w:t>nak</w:t>
      </w:r>
      <w:proofErr w:type="spellEnd"/>
      <w:r w:rsidRPr="00A11CEA">
        <w:rPr>
          <w:rFonts w:eastAsiaTheme="minorHAnsi"/>
          <w:lang w:eastAsia="en-US"/>
        </w:rPr>
        <w:t xml:space="preserve"> (8) bekezdése]. A felszámoló az elektronikus értékesítés érvényességének és eredményességének megállapítását követően a nyertes ajánlatot bemutatja az elővásárlási joggal rendelkezőknek, az őket megillető sorrendben, annak érdekében, hogy nyilatkozzanak: </w:t>
      </w:r>
      <w:r w:rsidRPr="00050F01">
        <w:rPr>
          <w:rFonts w:eastAsiaTheme="minorHAnsi"/>
          <w:i/>
          <w:lang w:eastAsia="en-US"/>
        </w:rPr>
        <w:t>kívánnak-e élni elővásárlási jogukkal.</w:t>
      </w:r>
      <w:r w:rsidR="001E6C9A">
        <w:rPr>
          <w:rFonts w:eastAsiaTheme="minorHAnsi"/>
          <w:i/>
          <w:lang w:eastAsia="en-US"/>
        </w:rPr>
        <w:t xml:space="preserve"> </w:t>
      </w:r>
      <w:r w:rsidR="00380D09" w:rsidRPr="00050F01">
        <w:rPr>
          <w:b/>
          <w:i/>
        </w:rPr>
        <w:t xml:space="preserve">A felszámoló felhívja a </w:t>
      </w:r>
      <w:proofErr w:type="spellStart"/>
      <w:r w:rsidR="00380D09" w:rsidRPr="00050F01">
        <w:rPr>
          <w:b/>
          <w:i/>
        </w:rPr>
        <w:t>Cstv</w:t>
      </w:r>
      <w:proofErr w:type="spellEnd"/>
      <w:r w:rsidR="00380D09" w:rsidRPr="00050F01">
        <w:rPr>
          <w:b/>
          <w:i/>
        </w:rPr>
        <w:t xml:space="preserve">. 49/C §- </w:t>
      </w:r>
      <w:proofErr w:type="spellStart"/>
      <w:r w:rsidR="00380D09" w:rsidRPr="00050F01">
        <w:rPr>
          <w:b/>
          <w:i/>
        </w:rPr>
        <w:t>ában</w:t>
      </w:r>
      <w:proofErr w:type="spellEnd"/>
      <w:r w:rsidR="00380D09" w:rsidRPr="00050F01">
        <w:rPr>
          <w:b/>
          <w:i/>
        </w:rPr>
        <w:t xml:space="preserve"> meghatározott elővásárlási jogosultak figyelmét arra, hogy elővásárlási jogukat a jelen pályázati eljárás keretében gyakorolhatják a 17/2014. (II.3.) Korm. rendelet 27. § (4) bekezdés szerint. </w:t>
      </w:r>
    </w:p>
    <w:p w:rsidR="00380D09" w:rsidRPr="00A11CEA" w:rsidRDefault="00380D09" w:rsidP="00204D19">
      <w:pPr>
        <w:spacing w:after="160" w:line="259" w:lineRule="auto"/>
        <w:jc w:val="both"/>
      </w:pPr>
      <w:r w:rsidRPr="00A11CEA">
        <w:rPr>
          <w:b/>
        </w:rPr>
        <w:t>17/2014 (II.3.) Kormányrendeletet 12.§ (5) bekezdés szerinti részletes feltételek:</w:t>
      </w:r>
      <w:r w:rsidR="00501C48">
        <w:rPr>
          <w:b/>
        </w:rPr>
        <w:t xml:space="preserve"> j</w:t>
      </w:r>
      <w:r w:rsidRPr="00A11CEA">
        <w:t xml:space="preserve">elen közlemény a meghirdetett vagyonelemek </w:t>
      </w:r>
      <w:r w:rsidR="00106ECF">
        <w:t>első</w:t>
      </w:r>
      <w:r w:rsidRPr="00A11CEA">
        <w:t xml:space="preserve"> hirdetése (</w:t>
      </w:r>
      <w:r w:rsidRPr="00963E5B">
        <w:rPr>
          <w:i/>
        </w:rPr>
        <w:t>a minimál ár a becsérték</w:t>
      </w:r>
      <w:r w:rsidR="00106ECF">
        <w:rPr>
          <w:i/>
        </w:rPr>
        <w:t xml:space="preserve"> 10</w:t>
      </w:r>
      <w:r w:rsidR="004343AC">
        <w:rPr>
          <w:i/>
        </w:rPr>
        <w:t>0</w:t>
      </w:r>
      <w:r w:rsidRPr="00963E5B">
        <w:rPr>
          <w:i/>
        </w:rPr>
        <w:t>%-a</w:t>
      </w:r>
      <w:r w:rsidRPr="00A11CEA">
        <w:t xml:space="preserve">). </w:t>
      </w:r>
    </w:p>
    <w:p w:rsidR="00432797" w:rsidRPr="00A11CEA" w:rsidRDefault="00432797" w:rsidP="00432797">
      <w:pPr>
        <w:pStyle w:val="NormlWeb"/>
        <w:spacing w:line="276" w:lineRule="auto"/>
        <w:rPr>
          <w:color w:val="auto"/>
          <w:sz w:val="24"/>
          <w:szCs w:val="24"/>
        </w:rPr>
      </w:pPr>
      <w:r w:rsidRPr="00A11CEA">
        <w:rPr>
          <w:color w:val="auto"/>
          <w:sz w:val="24"/>
          <w:szCs w:val="24"/>
        </w:rPr>
        <w:t>A felszámoló részére a pályázati kiírás nem jelent értékesítési kötelezettséget, fenntartja magának a jogot, hogy megfelelő ajánlat hiányában a pályázatot eredménytelennek nyilvánítsa, vagy ha a körülmények indokolják, a pályázatot visszavonja, és új pályázat kiírásáról, vagy árverés alkalmazásáról döntsön.</w:t>
      </w:r>
    </w:p>
    <w:p w:rsidR="00144002" w:rsidRPr="00A11CEA" w:rsidRDefault="00144002" w:rsidP="00144002">
      <w:pPr>
        <w:spacing w:after="160" w:line="259" w:lineRule="auto"/>
        <w:jc w:val="both"/>
        <w:rPr>
          <w:rFonts w:eastAsiaTheme="minorHAnsi"/>
          <w:lang w:eastAsia="en-US"/>
        </w:rPr>
      </w:pPr>
      <w:r w:rsidRPr="00A11CEA">
        <w:t xml:space="preserve">A </w:t>
      </w:r>
      <w:r w:rsidR="00501C48">
        <w:t xml:space="preserve">felszámoló a </w:t>
      </w:r>
      <w:r w:rsidRPr="00A11CEA">
        <w:t xml:space="preserve">237/ 2009. (X.20.) Korm. r. 2. § (2) </w:t>
      </w:r>
      <w:proofErr w:type="spellStart"/>
      <w:r w:rsidRPr="00A11CEA">
        <w:t>bek</w:t>
      </w:r>
      <w:proofErr w:type="spellEnd"/>
      <w:r w:rsidRPr="00A11CEA">
        <w:t xml:space="preserve">. </w:t>
      </w:r>
      <w:proofErr w:type="gramStart"/>
      <w:r w:rsidRPr="00A11CEA">
        <w:t>szerinti</w:t>
      </w:r>
      <w:proofErr w:type="gramEnd"/>
      <w:r w:rsidRPr="00A11CEA">
        <w:t xml:space="preserve"> értékesítési tájékoztatásnak eleget tett. A felszámoló az értékesítéssel kapcsolatban a hirdetmény alapján az Elektronikus Értékesítési Rendszeren </w:t>
      </w:r>
      <w:proofErr w:type="gramStart"/>
      <w:r w:rsidRPr="00A11CEA">
        <w:t>keresztül</w:t>
      </w:r>
      <w:r w:rsidR="00501C48" w:rsidRPr="00501C48">
        <w:rPr>
          <w:b/>
        </w:rPr>
        <w:t>(</w:t>
      </w:r>
      <w:proofErr w:type="gramEnd"/>
      <w:r w:rsidR="00501C48" w:rsidRPr="00501C48">
        <w:rPr>
          <w:b/>
        </w:rPr>
        <w:t>EÉR</w:t>
      </w:r>
      <w:r w:rsidR="00501C48">
        <w:t>)</w:t>
      </w:r>
      <w:r w:rsidRPr="00A11CEA">
        <w:t>, elektronikus úton kéri a pályázatok benyújtását.</w:t>
      </w:r>
      <w:r w:rsidR="001E6C9A">
        <w:t xml:space="preserve"> </w:t>
      </w:r>
      <w:r w:rsidRPr="00A11CEA">
        <w:rPr>
          <w:rFonts w:eastAsiaTheme="minorHAnsi"/>
          <w:lang w:eastAsia="en-US"/>
        </w:rPr>
        <w:t xml:space="preserve">A legmagasabb vételár az elsődleges értékesítési szempont. </w:t>
      </w:r>
    </w:p>
    <w:p w:rsidR="00144002" w:rsidRPr="00050F01" w:rsidRDefault="00144002" w:rsidP="00144002">
      <w:pPr>
        <w:spacing w:after="160" w:line="259" w:lineRule="auto"/>
        <w:jc w:val="both"/>
        <w:rPr>
          <w:rFonts w:eastAsiaTheme="minorHAnsi"/>
          <w:b/>
          <w:i/>
          <w:lang w:eastAsia="en-US"/>
        </w:rPr>
      </w:pPr>
      <w:r w:rsidRPr="00050F01">
        <w:rPr>
          <w:rFonts w:eastAsiaTheme="minorHAnsi"/>
          <w:b/>
          <w:i/>
          <w:lang w:eastAsia="en-US"/>
        </w:rPr>
        <w:t>A hirdetményben közzétett minimálár alatti vételi ajánlat a felszámoló részéről nem elfogadható.</w:t>
      </w:r>
    </w:p>
    <w:p w:rsidR="00144002" w:rsidRPr="00A11CEA" w:rsidRDefault="00144002" w:rsidP="00144002">
      <w:pPr>
        <w:spacing w:before="100" w:beforeAutospacing="1" w:after="100" w:afterAutospacing="1" w:line="276" w:lineRule="auto"/>
        <w:jc w:val="both"/>
      </w:pPr>
      <w:r w:rsidRPr="00A11CEA">
        <w:lastRenderedPageBreak/>
        <w:t>A pályázattal kapcsolatosan a pályázónál felmerülő költségek – a pályázat sikerétől függetlenül - a pályázót terhelik, ide értve a mindenkor hatályos jogszabályok szerint fizetendő adókat és illetékeket, valamint a szerződés elkészítésének, ellenjegyzésének díját.</w:t>
      </w:r>
    </w:p>
    <w:p w:rsidR="00204D19" w:rsidRPr="00A11CEA" w:rsidRDefault="00204D19" w:rsidP="00204D19">
      <w:pPr>
        <w:spacing w:after="160" w:line="259" w:lineRule="auto"/>
        <w:jc w:val="both"/>
        <w:rPr>
          <w:rFonts w:eastAsiaTheme="minorHAnsi"/>
          <w:b/>
          <w:lang w:eastAsia="en-US"/>
        </w:rPr>
      </w:pPr>
      <w:r w:rsidRPr="00A11CEA">
        <w:rPr>
          <w:rFonts w:eastAsiaTheme="minorHAnsi"/>
          <w:b/>
          <w:lang w:eastAsia="en-US"/>
        </w:rPr>
        <w:t>Az Eladóval szembeni hitelezői követelések vételárba történő beszámítására nincs lehetőség.</w:t>
      </w:r>
    </w:p>
    <w:p w:rsidR="00204D19" w:rsidRPr="00A11CEA" w:rsidRDefault="00204D19" w:rsidP="00204D19">
      <w:pPr>
        <w:spacing w:line="276" w:lineRule="auto"/>
        <w:jc w:val="both"/>
      </w:pPr>
      <w:r w:rsidRPr="00A11CEA">
        <w:t xml:space="preserve">A nyertes pályázó a megvásárolt </w:t>
      </w:r>
      <w:r w:rsidR="003864B2">
        <w:t>készlet</w:t>
      </w:r>
      <w:r w:rsidRPr="00A11CEA">
        <w:t xml:space="preserve"> birtokbavételéről a vételár kiegyenlítésének napjától számított maximum 15 napon belül saját költségén gondoskodni köteles. A felszámoló az ingóság őrzéséért, tárolásáért költségtérítést számít fel, ha a vevő a birtokbavételre szabott határidőt túllépi, melynek összege minden megkezdett nap után </w:t>
      </w:r>
      <w:r w:rsidRPr="00A11CEA">
        <w:rPr>
          <w:b/>
        </w:rPr>
        <w:t>10. 000,- Ft+ ÁFA.</w:t>
      </w:r>
    </w:p>
    <w:p w:rsidR="00613D78" w:rsidRPr="00957816" w:rsidRDefault="00106ECF" w:rsidP="00613D78">
      <w:pPr>
        <w:pStyle w:val="NormlWeb"/>
        <w:spacing w:line="276" w:lineRule="auto"/>
        <w:rPr>
          <w:b/>
          <w:i/>
          <w:color w:val="auto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Az ingóságok megtekinthetőségének helyéről és idejéről érdeklődni az EÉR felületén keresztül van lehetőség. </w:t>
      </w:r>
    </w:p>
    <w:p w:rsidR="00EC1D40" w:rsidRPr="00A11CEA" w:rsidRDefault="00EC1D40" w:rsidP="00A11CEA">
      <w:pPr>
        <w:pStyle w:val="NormlWeb"/>
        <w:spacing w:line="276" w:lineRule="auto"/>
        <w:rPr>
          <w:b/>
          <w:i/>
          <w:color w:val="auto"/>
          <w:sz w:val="24"/>
          <w:szCs w:val="24"/>
        </w:rPr>
      </w:pPr>
    </w:p>
    <w:sectPr w:rsidR="00EC1D40" w:rsidRPr="00A11CEA" w:rsidSect="00C47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3C9"/>
    <w:multiLevelType w:val="hybridMultilevel"/>
    <w:tmpl w:val="81D2D460"/>
    <w:lvl w:ilvl="0" w:tplc="6C1CFF66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48476DD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4A21BF"/>
    <w:multiLevelType w:val="hybridMultilevel"/>
    <w:tmpl w:val="C8F85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3B2"/>
    <w:multiLevelType w:val="hybridMultilevel"/>
    <w:tmpl w:val="267CC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6914"/>
    <w:multiLevelType w:val="hybridMultilevel"/>
    <w:tmpl w:val="0D0E523E"/>
    <w:lvl w:ilvl="0" w:tplc="80E09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87"/>
    <w:rsid w:val="00001A39"/>
    <w:rsid w:val="00011764"/>
    <w:rsid w:val="000257AC"/>
    <w:rsid w:val="00050F01"/>
    <w:rsid w:val="00056E62"/>
    <w:rsid w:val="00062285"/>
    <w:rsid w:val="00066C0A"/>
    <w:rsid w:val="00076C26"/>
    <w:rsid w:val="00085DCC"/>
    <w:rsid w:val="000E62E2"/>
    <w:rsid w:val="00106ECF"/>
    <w:rsid w:val="0012099B"/>
    <w:rsid w:val="0012333B"/>
    <w:rsid w:val="00131BBA"/>
    <w:rsid w:val="00134F55"/>
    <w:rsid w:val="00144002"/>
    <w:rsid w:val="0015249A"/>
    <w:rsid w:val="00152B62"/>
    <w:rsid w:val="001D518F"/>
    <w:rsid w:val="001E6C9A"/>
    <w:rsid w:val="001E7B96"/>
    <w:rsid w:val="002024D9"/>
    <w:rsid w:val="00204C28"/>
    <w:rsid w:val="00204D19"/>
    <w:rsid w:val="0021289B"/>
    <w:rsid w:val="00227363"/>
    <w:rsid w:val="002451D1"/>
    <w:rsid w:val="0028724E"/>
    <w:rsid w:val="002941A4"/>
    <w:rsid w:val="002A0E0C"/>
    <w:rsid w:val="002E3911"/>
    <w:rsid w:val="002E3987"/>
    <w:rsid w:val="00307F93"/>
    <w:rsid w:val="0031020E"/>
    <w:rsid w:val="003243E3"/>
    <w:rsid w:val="00324C54"/>
    <w:rsid w:val="003470E9"/>
    <w:rsid w:val="003652B3"/>
    <w:rsid w:val="00380D09"/>
    <w:rsid w:val="003864B2"/>
    <w:rsid w:val="00393370"/>
    <w:rsid w:val="003E42D2"/>
    <w:rsid w:val="003E7C3A"/>
    <w:rsid w:val="003F061B"/>
    <w:rsid w:val="00407240"/>
    <w:rsid w:val="0041023E"/>
    <w:rsid w:val="00416851"/>
    <w:rsid w:val="00425FFB"/>
    <w:rsid w:val="00432777"/>
    <w:rsid w:val="00432797"/>
    <w:rsid w:val="004343AC"/>
    <w:rsid w:val="00437A7E"/>
    <w:rsid w:val="0045664E"/>
    <w:rsid w:val="00465CF8"/>
    <w:rsid w:val="00473B22"/>
    <w:rsid w:val="00486B89"/>
    <w:rsid w:val="004A5F0D"/>
    <w:rsid w:val="004C2F66"/>
    <w:rsid w:val="004E54E5"/>
    <w:rsid w:val="004E5528"/>
    <w:rsid w:val="00501C48"/>
    <w:rsid w:val="00521E0B"/>
    <w:rsid w:val="00536CDC"/>
    <w:rsid w:val="005707AD"/>
    <w:rsid w:val="005967EB"/>
    <w:rsid w:val="005B6313"/>
    <w:rsid w:val="005E238C"/>
    <w:rsid w:val="00602851"/>
    <w:rsid w:val="0060577D"/>
    <w:rsid w:val="00613D78"/>
    <w:rsid w:val="00620E94"/>
    <w:rsid w:val="00635842"/>
    <w:rsid w:val="006A0FB5"/>
    <w:rsid w:val="006A5C1B"/>
    <w:rsid w:val="006B67DC"/>
    <w:rsid w:val="006C2CC1"/>
    <w:rsid w:val="006E01C2"/>
    <w:rsid w:val="006F0A6E"/>
    <w:rsid w:val="006F48D4"/>
    <w:rsid w:val="006F6F49"/>
    <w:rsid w:val="007019C9"/>
    <w:rsid w:val="007071A7"/>
    <w:rsid w:val="00736BD6"/>
    <w:rsid w:val="00741C82"/>
    <w:rsid w:val="00757ED2"/>
    <w:rsid w:val="00765D72"/>
    <w:rsid w:val="0077565D"/>
    <w:rsid w:val="007811A9"/>
    <w:rsid w:val="00790EB2"/>
    <w:rsid w:val="007A5BD6"/>
    <w:rsid w:val="007B719E"/>
    <w:rsid w:val="007C0721"/>
    <w:rsid w:val="007C4A4D"/>
    <w:rsid w:val="007C7674"/>
    <w:rsid w:val="007F14D2"/>
    <w:rsid w:val="008037F6"/>
    <w:rsid w:val="00811B41"/>
    <w:rsid w:val="00814ED1"/>
    <w:rsid w:val="00816412"/>
    <w:rsid w:val="00816A1D"/>
    <w:rsid w:val="00836F84"/>
    <w:rsid w:val="008462F9"/>
    <w:rsid w:val="0085600B"/>
    <w:rsid w:val="00871DA3"/>
    <w:rsid w:val="00877B6D"/>
    <w:rsid w:val="008844E6"/>
    <w:rsid w:val="008B72D5"/>
    <w:rsid w:val="008D1CBD"/>
    <w:rsid w:val="009568B3"/>
    <w:rsid w:val="00963E5B"/>
    <w:rsid w:val="009E7C28"/>
    <w:rsid w:val="009F7B03"/>
    <w:rsid w:val="00A046A7"/>
    <w:rsid w:val="00A11CEA"/>
    <w:rsid w:val="00A341C0"/>
    <w:rsid w:val="00A436BD"/>
    <w:rsid w:val="00A505A0"/>
    <w:rsid w:val="00A536EB"/>
    <w:rsid w:val="00A651A6"/>
    <w:rsid w:val="00A72EF6"/>
    <w:rsid w:val="00AA2E3E"/>
    <w:rsid w:val="00AF79CD"/>
    <w:rsid w:val="00B03945"/>
    <w:rsid w:val="00B263FD"/>
    <w:rsid w:val="00B36500"/>
    <w:rsid w:val="00B540F3"/>
    <w:rsid w:val="00B6358D"/>
    <w:rsid w:val="00B640E4"/>
    <w:rsid w:val="00B679CD"/>
    <w:rsid w:val="00B77FE1"/>
    <w:rsid w:val="00B92E42"/>
    <w:rsid w:val="00BC47E9"/>
    <w:rsid w:val="00BD31DE"/>
    <w:rsid w:val="00BD3DE6"/>
    <w:rsid w:val="00BE034B"/>
    <w:rsid w:val="00BE7197"/>
    <w:rsid w:val="00C0026D"/>
    <w:rsid w:val="00C10DCE"/>
    <w:rsid w:val="00C239BC"/>
    <w:rsid w:val="00C308D0"/>
    <w:rsid w:val="00C45748"/>
    <w:rsid w:val="00C46D89"/>
    <w:rsid w:val="00C476C8"/>
    <w:rsid w:val="00C74FF9"/>
    <w:rsid w:val="00C87E36"/>
    <w:rsid w:val="00C912D2"/>
    <w:rsid w:val="00C9143C"/>
    <w:rsid w:val="00CB6A99"/>
    <w:rsid w:val="00CD7759"/>
    <w:rsid w:val="00CF790E"/>
    <w:rsid w:val="00D17268"/>
    <w:rsid w:val="00D31378"/>
    <w:rsid w:val="00D34EB6"/>
    <w:rsid w:val="00D70D89"/>
    <w:rsid w:val="00D85943"/>
    <w:rsid w:val="00D878F4"/>
    <w:rsid w:val="00DD4338"/>
    <w:rsid w:val="00DF5988"/>
    <w:rsid w:val="00E562BC"/>
    <w:rsid w:val="00E66FD7"/>
    <w:rsid w:val="00E6780E"/>
    <w:rsid w:val="00E8608E"/>
    <w:rsid w:val="00EA5478"/>
    <w:rsid w:val="00EC1692"/>
    <w:rsid w:val="00EC1D40"/>
    <w:rsid w:val="00EC5C56"/>
    <w:rsid w:val="00ED5A1B"/>
    <w:rsid w:val="00ED5CF7"/>
    <w:rsid w:val="00ED6417"/>
    <w:rsid w:val="00EF5FE3"/>
    <w:rsid w:val="00F47EF0"/>
    <w:rsid w:val="00F57A7E"/>
    <w:rsid w:val="00F63862"/>
    <w:rsid w:val="00FC1D86"/>
    <w:rsid w:val="00FC5C2B"/>
    <w:rsid w:val="00FF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648"/>
  <w15:docId w15:val="{303A8AFA-DE45-4305-8AD3-E0784D1D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143C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9143C"/>
    <w:pPr>
      <w:keepNext/>
      <w:numPr>
        <w:ilvl w:val="1"/>
        <w:numId w:val="3"/>
      </w:numPr>
      <w:spacing w:line="360" w:lineRule="exact"/>
      <w:jc w:val="both"/>
      <w:outlineLvl w:val="1"/>
    </w:pPr>
    <w:rPr>
      <w:rFonts w:ascii="Bookman Old Style" w:hAnsi="Bookman Old Style"/>
      <w:szCs w:val="20"/>
    </w:rPr>
  </w:style>
  <w:style w:type="paragraph" w:styleId="Cmsor3">
    <w:name w:val="heading 3"/>
    <w:basedOn w:val="Norml"/>
    <w:next w:val="Norml"/>
    <w:link w:val="Cmsor3Char"/>
    <w:qFormat/>
    <w:rsid w:val="00C9143C"/>
    <w:pPr>
      <w:keepNext/>
      <w:numPr>
        <w:ilvl w:val="2"/>
        <w:numId w:val="3"/>
      </w:numPr>
      <w:spacing w:line="340" w:lineRule="exact"/>
      <w:ind w:right="-2"/>
      <w:jc w:val="both"/>
      <w:outlineLvl w:val="2"/>
    </w:pPr>
    <w:rPr>
      <w:rFonts w:ascii="Bookman Old Style" w:hAnsi="Bookman Old Style"/>
      <w:szCs w:val="20"/>
    </w:rPr>
  </w:style>
  <w:style w:type="paragraph" w:styleId="Cmsor4">
    <w:name w:val="heading 4"/>
    <w:basedOn w:val="Norml"/>
    <w:next w:val="Norml"/>
    <w:link w:val="Cmsor4Char"/>
    <w:qFormat/>
    <w:rsid w:val="00C9143C"/>
    <w:pPr>
      <w:keepNext/>
      <w:numPr>
        <w:ilvl w:val="3"/>
        <w:numId w:val="3"/>
      </w:numPr>
      <w:tabs>
        <w:tab w:val="left" w:pos="3686"/>
      </w:tabs>
      <w:spacing w:line="340" w:lineRule="exact"/>
      <w:outlineLvl w:val="3"/>
    </w:pPr>
    <w:rPr>
      <w:rFonts w:ascii="Bookman Old Style" w:hAnsi="Bookman Old Style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143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9143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C9143C"/>
    <w:pPr>
      <w:keepNext/>
      <w:numPr>
        <w:ilvl w:val="6"/>
        <w:numId w:val="3"/>
      </w:numPr>
      <w:outlineLvl w:val="6"/>
    </w:pPr>
    <w:rPr>
      <w:rFonts w:ascii="Arial" w:hAnsi="Arial"/>
      <w:b/>
      <w:bCs/>
      <w:sz w:val="18"/>
      <w:szCs w:val="18"/>
    </w:rPr>
  </w:style>
  <w:style w:type="paragraph" w:styleId="Cmsor8">
    <w:name w:val="heading 8"/>
    <w:basedOn w:val="Norml"/>
    <w:next w:val="Norml"/>
    <w:link w:val="Cmsor8Char"/>
    <w:qFormat/>
    <w:rsid w:val="00C9143C"/>
    <w:pPr>
      <w:keepNext/>
      <w:numPr>
        <w:ilvl w:val="7"/>
        <w:numId w:val="3"/>
      </w:numPr>
      <w:outlineLvl w:val="7"/>
    </w:pPr>
    <w:rPr>
      <w:rFonts w:ascii="Arial" w:hAnsi="Arial"/>
      <w:i/>
      <w:iCs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9143C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E3987"/>
    <w:rPr>
      <w:i/>
      <w:iCs/>
    </w:rPr>
  </w:style>
  <w:style w:type="character" w:styleId="Kiemels2">
    <w:name w:val="Strong"/>
    <w:qFormat/>
    <w:rsid w:val="002E3987"/>
    <w:rPr>
      <w:b/>
      <w:bCs/>
    </w:rPr>
  </w:style>
  <w:style w:type="paragraph" w:styleId="Szvegtrzsbehzssal">
    <w:name w:val="Body Text Indent"/>
    <w:basedOn w:val="Norml"/>
    <w:link w:val="SzvegtrzsbehzssalChar"/>
    <w:rsid w:val="00465CF8"/>
    <w:pPr>
      <w:widowControl w:val="0"/>
      <w:spacing w:line="364" w:lineRule="atLeast"/>
      <w:ind w:left="2910"/>
    </w:pPr>
    <w:rPr>
      <w:sz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465CF8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NormlWeb">
    <w:name w:val="Normal (Web)"/>
    <w:basedOn w:val="Norml"/>
    <w:rsid w:val="00DD4338"/>
    <w:pPr>
      <w:spacing w:before="100" w:beforeAutospacing="1" w:after="100" w:afterAutospacing="1"/>
      <w:jc w:val="both"/>
    </w:pPr>
    <w:rPr>
      <w:color w:val="000000"/>
      <w:sz w:val="27"/>
      <w:szCs w:val="27"/>
    </w:rPr>
  </w:style>
  <w:style w:type="character" w:customStyle="1" w:styleId="Cmsor1Char">
    <w:name w:val="Címsor 1 Char"/>
    <w:basedOn w:val="Bekezdsalapbettpusa"/>
    <w:link w:val="Cmsor1"/>
    <w:uiPriority w:val="9"/>
    <w:rsid w:val="00C9143C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9143C"/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143C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9143C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C9143C"/>
    <w:rPr>
      <w:rFonts w:ascii="Arial" w:eastAsia="Times New Roman" w:hAnsi="Arial" w:cs="Times New Roman"/>
      <w:b/>
      <w:bCs/>
      <w:sz w:val="18"/>
      <w:szCs w:val="18"/>
      <w:lang w:eastAsia="hu-HU"/>
    </w:rPr>
  </w:style>
  <w:style w:type="character" w:customStyle="1" w:styleId="Cmsor8Char">
    <w:name w:val="Címsor 8 Char"/>
    <w:basedOn w:val="Bekezdsalapbettpusa"/>
    <w:link w:val="Cmsor8"/>
    <w:rsid w:val="00C9143C"/>
    <w:rPr>
      <w:rFonts w:ascii="Arial" w:eastAsia="Times New Roman" w:hAnsi="Arial" w:cs="Times New Roman"/>
      <w:i/>
      <w:iCs/>
      <w:sz w:val="18"/>
      <w:szCs w:val="18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9143C"/>
    <w:rPr>
      <w:rFonts w:ascii="Cambria" w:eastAsia="Times New Roman" w:hAnsi="Cambria" w:cs="Times New Roman"/>
      <w:lang w:eastAsia="hu-HU"/>
    </w:rPr>
  </w:style>
  <w:style w:type="paragraph" w:customStyle="1" w:styleId="Default">
    <w:name w:val="Default"/>
    <w:rsid w:val="00C91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4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4D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11764"/>
    <w:pPr>
      <w:ind w:left="720"/>
      <w:contextualSpacing/>
    </w:pPr>
  </w:style>
  <w:style w:type="table" w:styleId="Rcsostblzat">
    <w:name w:val="Table Grid"/>
    <w:basedOn w:val="Normltblzat"/>
    <w:uiPriority w:val="39"/>
    <w:rsid w:val="00025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C9A4E-4DA4-4625-9147-1A4DF58D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Boglár</cp:lastModifiedBy>
  <cp:revision>2</cp:revision>
  <cp:lastPrinted>2021-11-24T12:27:00Z</cp:lastPrinted>
  <dcterms:created xsi:type="dcterms:W3CDTF">2021-11-25T12:57:00Z</dcterms:created>
  <dcterms:modified xsi:type="dcterms:W3CDTF">2021-11-25T12:57:00Z</dcterms:modified>
</cp:coreProperties>
</file>